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7E36" w14:textId="6D630BCF" w:rsidR="003F6846" w:rsidRPr="005C397C" w:rsidRDefault="003F6846" w:rsidP="00961CAE">
      <w:pPr>
        <w:tabs>
          <w:tab w:val="left" w:pos="5145"/>
        </w:tabs>
        <w:ind w:right="49"/>
        <w:rPr>
          <w:rFonts w:ascii="Verdana" w:eastAsia="Arial" w:hAnsi="Verdana" w:cs="Arial"/>
          <w:b/>
          <w:spacing w:val="1"/>
          <w:sz w:val="21"/>
          <w:szCs w:val="21"/>
        </w:rPr>
      </w:pPr>
      <w:r w:rsidRPr="005C397C">
        <w:rPr>
          <w:rFonts w:ascii="Verdana" w:eastAsia="Arial" w:hAnsi="Verdana" w:cs="Arial"/>
          <w:b/>
          <w:spacing w:val="1"/>
          <w:sz w:val="21"/>
          <w:szCs w:val="21"/>
        </w:rPr>
        <w:t xml:space="preserve">                                                    </w:t>
      </w:r>
      <w:bookmarkStart w:id="0" w:name="_Hlk56271825"/>
    </w:p>
    <w:p w14:paraId="75932C7A" w14:textId="768F8F8A" w:rsidR="00621B67" w:rsidRPr="005C397C" w:rsidRDefault="00621B67" w:rsidP="003E09D7">
      <w:pPr>
        <w:spacing w:before="120"/>
        <w:ind w:left="5103" w:right="51"/>
        <w:jc w:val="both"/>
        <w:rPr>
          <w:rFonts w:ascii="Verdana" w:eastAsia="Arial" w:hAnsi="Verdana" w:cs="Arial"/>
          <w:b/>
          <w:spacing w:val="1"/>
          <w:sz w:val="21"/>
          <w:szCs w:val="21"/>
        </w:rPr>
      </w:pPr>
      <w:r w:rsidRPr="005C397C">
        <w:rPr>
          <w:rFonts w:ascii="Verdana" w:eastAsia="Arial" w:hAnsi="Verdana" w:cs="Arial"/>
          <w:b/>
          <w:spacing w:val="1"/>
          <w:sz w:val="21"/>
          <w:szCs w:val="21"/>
        </w:rPr>
        <w:t>INCIDENTE DE INCUMPLIMIENTO DE SENTENCIA.</w:t>
      </w:r>
    </w:p>
    <w:p w14:paraId="53579164" w14:textId="387A48C0" w:rsidR="003F6846" w:rsidRPr="005C397C" w:rsidRDefault="00621B67" w:rsidP="003E09D7">
      <w:pPr>
        <w:spacing w:before="120"/>
        <w:ind w:left="5103" w:right="51"/>
        <w:jc w:val="both"/>
        <w:rPr>
          <w:rFonts w:ascii="Verdana" w:eastAsia="Arial" w:hAnsi="Verdana" w:cs="Arial"/>
          <w:sz w:val="21"/>
          <w:szCs w:val="21"/>
        </w:rPr>
      </w:pPr>
      <w:r w:rsidRPr="005C397C">
        <w:rPr>
          <w:rFonts w:ascii="Verdana" w:eastAsia="Arial" w:hAnsi="Verdana" w:cs="Arial"/>
          <w:b/>
          <w:spacing w:val="1"/>
          <w:sz w:val="21"/>
          <w:szCs w:val="21"/>
        </w:rPr>
        <w:t>PROCEDIMIENTO ESPECIAL SANCIONADOR.</w:t>
      </w:r>
    </w:p>
    <w:p w14:paraId="5DB5EF48" w14:textId="7A439D00" w:rsidR="003F6846" w:rsidRPr="005C397C" w:rsidRDefault="00621B67" w:rsidP="003E09D7">
      <w:pPr>
        <w:spacing w:before="120"/>
        <w:ind w:left="5103" w:right="51"/>
        <w:jc w:val="both"/>
        <w:rPr>
          <w:rFonts w:ascii="Verdana" w:eastAsia="Arial" w:hAnsi="Verdana" w:cs="Arial"/>
          <w:spacing w:val="1"/>
          <w:sz w:val="21"/>
          <w:szCs w:val="21"/>
        </w:rPr>
      </w:pPr>
      <w:r w:rsidRPr="005C397C">
        <w:rPr>
          <w:rFonts w:ascii="Verdana" w:eastAsia="Arial" w:hAnsi="Verdana" w:cs="Arial"/>
          <w:b/>
          <w:sz w:val="21"/>
          <w:szCs w:val="21"/>
        </w:rPr>
        <w:t>EXPEDIEN</w:t>
      </w:r>
      <w:r w:rsidRPr="005C397C">
        <w:rPr>
          <w:rFonts w:ascii="Verdana" w:eastAsia="Arial" w:hAnsi="Verdana" w:cs="Arial"/>
          <w:b/>
          <w:spacing w:val="-1"/>
          <w:sz w:val="21"/>
          <w:szCs w:val="21"/>
        </w:rPr>
        <w:t>T</w:t>
      </w:r>
      <w:r w:rsidRPr="005C397C">
        <w:rPr>
          <w:rFonts w:ascii="Verdana" w:eastAsia="Arial" w:hAnsi="Verdana" w:cs="Arial"/>
          <w:b/>
          <w:spacing w:val="-2"/>
          <w:sz w:val="21"/>
          <w:szCs w:val="21"/>
        </w:rPr>
        <w:t>E</w:t>
      </w:r>
      <w:r w:rsidRPr="005C397C">
        <w:rPr>
          <w:rFonts w:ascii="Verdana" w:eastAsia="Arial" w:hAnsi="Verdana" w:cs="Arial"/>
          <w:b/>
          <w:sz w:val="21"/>
          <w:szCs w:val="21"/>
        </w:rPr>
        <w:t xml:space="preserve">: </w:t>
      </w:r>
      <w:r w:rsidRPr="005C397C">
        <w:rPr>
          <w:rFonts w:ascii="Verdana" w:eastAsia="Arial" w:hAnsi="Verdana" w:cs="Arial"/>
          <w:sz w:val="21"/>
          <w:szCs w:val="21"/>
        </w:rPr>
        <w:t>T</w:t>
      </w:r>
      <w:r w:rsidRPr="005C397C">
        <w:rPr>
          <w:rFonts w:ascii="Verdana" w:eastAsia="Arial" w:hAnsi="Verdana" w:cs="Arial"/>
          <w:spacing w:val="-2"/>
          <w:sz w:val="21"/>
          <w:szCs w:val="21"/>
        </w:rPr>
        <w:t>EE</w:t>
      </w:r>
      <w:r w:rsidRPr="005C397C">
        <w:rPr>
          <w:rFonts w:ascii="Verdana" w:eastAsia="Arial" w:hAnsi="Verdana" w:cs="Arial"/>
          <w:spacing w:val="-1"/>
          <w:sz w:val="21"/>
          <w:szCs w:val="21"/>
        </w:rPr>
        <w:t>A-</w:t>
      </w:r>
      <w:r w:rsidRPr="005C397C">
        <w:rPr>
          <w:rFonts w:ascii="Verdana" w:eastAsia="Arial" w:hAnsi="Verdana" w:cs="Arial"/>
          <w:spacing w:val="1"/>
          <w:sz w:val="21"/>
          <w:szCs w:val="21"/>
        </w:rPr>
        <w:t>PES</w:t>
      </w:r>
      <w:r w:rsidRPr="005C397C">
        <w:rPr>
          <w:rFonts w:ascii="Verdana" w:eastAsia="Arial" w:hAnsi="Verdana" w:cs="Arial"/>
          <w:sz w:val="21"/>
          <w:szCs w:val="21"/>
        </w:rPr>
        <w:t>-</w:t>
      </w:r>
      <w:r w:rsidRPr="005C397C">
        <w:rPr>
          <w:rFonts w:ascii="Verdana" w:eastAsia="Arial" w:hAnsi="Verdana" w:cs="Arial"/>
          <w:spacing w:val="1"/>
          <w:sz w:val="21"/>
          <w:szCs w:val="21"/>
        </w:rPr>
        <w:t>009/2022.</w:t>
      </w:r>
    </w:p>
    <w:p w14:paraId="2E26C534" w14:textId="563E963F" w:rsidR="003F6846" w:rsidRPr="005C397C" w:rsidRDefault="00915676" w:rsidP="003E09D7">
      <w:pPr>
        <w:spacing w:before="120"/>
        <w:ind w:left="5103" w:right="51"/>
        <w:jc w:val="both"/>
        <w:rPr>
          <w:rFonts w:ascii="Verdana" w:eastAsia="Arial" w:hAnsi="Verdana" w:cs="Arial"/>
          <w:bCs/>
          <w:sz w:val="21"/>
          <w:szCs w:val="21"/>
        </w:rPr>
      </w:pPr>
      <w:r w:rsidRPr="005C397C">
        <w:rPr>
          <w:rFonts w:ascii="Verdana" w:eastAsia="Arial" w:hAnsi="Verdana" w:cs="Arial"/>
          <w:b/>
          <w:sz w:val="21"/>
          <w:szCs w:val="21"/>
        </w:rPr>
        <w:t xml:space="preserve">PARTE </w:t>
      </w:r>
      <w:r w:rsidR="00621B67" w:rsidRPr="005C397C">
        <w:rPr>
          <w:rFonts w:ascii="Verdana" w:eastAsia="Arial" w:hAnsi="Verdana" w:cs="Arial"/>
          <w:b/>
          <w:sz w:val="21"/>
          <w:szCs w:val="21"/>
        </w:rPr>
        <w:t xml:space="preserve">DENUNCIANTE: </w:t>
      </w:r>
      <w:r w:rsidR="00621B67" w:rsidRPr="005C397C">
        <w:rPr>
          <w:rFonts w:ascii="Verdana" w:eastAsia="Arial" w:hAnsi="Verdana" w:cs="Arial"/>
          <w:bCs/>
          <w:color w:val="FFFFFF" w:themeColor="background1"/>
          <w:sz w:val="21"/>
          <w:szCs w:val="21"/>
          <w:highlight w:val="black"/>
        </w:rPr>
        <w:t>ELIMINADO: DATO PERSONAL CONFIDENCIAL</w:t>
      </w:r>
      <w:r w:rsidR="00FC754A" w:rsidRPr="005C397C">
        <w:rPr>
          <w:rStyle w:val="Refdenotaalpie"/>
          <w:rFonts w:ascii="Verdana" w:eastAsia="Arial" w:hAnsi="Verdana" w:cs="Arial"/>
          <w:bCs/>
          <w:color w:val="FFFFFF" w:themeColor="background1"/>
          <w:sz w:val="21"/>
          <w:szCs w:val="21"/>
          <w:highlight w:val="black"/>
        </w:rPr>
        <w:footnoteReference w:id="1"/>
      </w:r>
      <w:r w:rsidR="00621B67" w:rsidRPr="005C397C">
        <w:rPr>
          <w:rFonts w:ascii="Verdana" w:eastAsia="Arial" w:hAnsi="Verdana" w:cs="Arial"/>
          <w:bCs/>
          <w:color w:val="FFFFFF" w:themeColor="background1"/>
          <w:sz w:val="21"/>
          <w:szCs w:val="21"/>
          <w:highlight w:val="black"/>
        </w:rPr>
        <w:t>.</w:t>
      </w:r>
    </w:p>
    <w:p w14:paraId="18C66C59" w14:textId="5B2452B3" w:rsidR="003F6846" w:rsidRPr="005C397C" w:rsidRDefault="00915676" w:rsidP="003E09D7">
      <w:pPr>
        <w:spacing w:before="120"/>
        <w:ind w:left="5103" w:right="51"/>
        <w:jc w:val="both"/>
        <w:rPr>
          <w:rFonts w:ascii="Verdana" w:eastAsia="Arial" w:hAnsi="Verdana" w:cs="Arial"/>
          <w:sz w:val="21"/>
          <w:szCs w:val="21"/>
        </w:rPr>
      </w:pPr>
      <w:r w:rsidRPr="005C397C">
        <w:rPr>
          <w:rFonts w:ascii="Verdana" w:eastAsia="Arial" w:hAnsi="Verdana" w:cs="Arial"/>
          <w:b/>
          <w:spacing w:val="-5"/>
          <w:sz w:val="21"/>
          <w:szCs w:val="21"/>
        </w:rPr>
        <w:t xml:space="preserve">PARTE </w:t>
      </w:r>
      <w:r w:rsidR="00621B67" w:rsidRPr="005C397C">
        <w:rPr>
          <w:rFonts w:ascii="Verdana" w:eastAsia="Arial" w:hAnsi="Verdana" w:cs="Arial"/>
          <w:b/>
          <w:spacing w:val="-5"/>
          <w:sz w:val="21"/>
          <w:szCs w:val="21"/>
        </w:rPr>
        <w:t>DEN</w:t>
      </w:r>
      <w:r w:rsidR="00A617D8" w:rsidRPr="005C397C">
        <w:rPr>
          <w:rFonts w:ascii="Verdana" w:eastAsia="Arial" w:hAnsi="Verdana" w:cs="Arial"/>
          <w:b/>
          <w:spacing w:val="-5"/>
          <w:sz w:val="21"/>
          <w:szCs w:val="21"/>
        </w:rPr>
        <w:t>UNCIADA</w:t>
      </w:r>
      <w:r w:rsidR="00A617D8" w:rsidRPr="005C397C">
        <w:rPr>
          <w:rFonts w:ascii="Verdana" w:eastAsia="Arial" w:hAnsi="Verdana" w:cs="Arial"/>
          <w:b/>
          <w:sz w:val="21"/>
          <w:szCs w:val="21"/>
        </w:rPr>
        <w:t xml:space="preserve">: </w:t>
      </w:r>
      <w:r w:rsidR="00A617D8" w:rsidRPr="005C397C">
        <w:rPr>
          <w:rFonts w:ascii="Verdana" w:eastAsia="Arial Nova" w:hAnsi="Verdana" w:cs="Arial"/>
          <w:bCs/>
          <w:sz w:val="21"/>
          <w:szCs w:val="21"/>
        </w:rPr>
        <w:t>FERNANDO ALFÉREZ BARBOSA.</w:t>
      </w:r>
    </w:p>
    <w:p w14:paraId="0F374B22" w14:textId="5372048A" w:rsidR="003F6846" w:rsidRPr="005C397C" w:rsidRDefault="00621B67" w:rsidP="003E09D7">
      <w:pPr>
        <w:spacing w:before="120"/>
        <w:ind w:left="5103" w:right="51"/>
        <w:jc w:val="both"/>
        <w:rPr>
          <w:rFonts w:ascii="Verdana" w:eastAsia="Arial" w:hAnsi="Verdana" w:cs="Arial"/>
          <w:sz w:val="21"/>
          <w:szCs w:val="21"/>
        </w:rPr>
      </w:pPr>
      <w:r w:rsidRPr="005C397C">
        <w:rPr>
          <w:rFonts w:ascii="Verdana" w:eastAsia="Arial" w:hAnsi="Verdana" w:cs="Arial"/>
          <w:b/>
          <w:spacing w:val="4"/>
          <w:sz w:val="21"/>
          <w:szCs w:val="21"/>
        </w:rPr>
        <w:t>M</w:t>
      </w:r>
      <w:r w:rsidRPr="005C397C">
        <w:rPr>
          <w:rFonts w:ascii="Verdana" w:eastAsia="Arial" w:hAnsi="Verdana" w:cs="Arial"/>
          <w:b/>
          <w:spacing w:val="-8"/>
          <w:sz w:val="21"/>
          <w:szCs w:val="21"/>
        </w:rPr>
        <w:t>A</w:t>
      </w:r>
      <w:r w:rsidRPr="005C397C">
        <w:rPr>
          <w:rFonts w:ascii="Verdana" w:eastAsia="Arial" w:hAnsi="Verdana" w:cs="Arial"/>
          <w:b/>
          <w:sz w:val="21"/>
          <w:szCs w:val="21"/>
        </w:rPr>
        <w:t>G</w:t>
      </w:r>
      <w:r w:rsidRPr="005C397C">
        <w:rPr>
          <w:rFonts w:ascii="Verdana" w:eastAsia="Arial" w:hAnsi="Verdana" w:cs="Arial"/>
          <w:b/>
          <w:spacing w:val="1"/>
          <w:sz w:val="21"/>
          <w:szCs w:val="21"/>
        </w:rPr>
        <w:t>I</w:t>
      </w:r>
      <w:r w:rsidRPr="005C397C">
        <w:rPr>
          <w:rFonts w:ascii="Verdana" w:eastAsia="Arial" w:hAnsi="Verdana" w:cs="Arial"/>
          <w:b/>
          <w:sz w:val="21"/>
          <w:szCs w:val="21"/>
        </w:rPr>
        <w:t>ST</w:t>
      </w:r>
      <w:r w:rsidRPr="005C397C">
        <w:rPr>
          <w:rFonts w:ascii="Verdana" w:eastAsia="Arial" w:hAnsi="Verdana" w:cs="Arial"/>
          <w:b/>
          <w:spacing w:val="4"/>
          <w:sz w:val="21"/>
          <w:szCs w:val="21"/>
        </w:rPr>
        <w:t>R</w:t>
      </w:r>
      <w:r w:rsidRPr="005C397C">
        <w:rPr>
          <w:rFonts w:ascii="Verdana" w:eastAsia="Arial" w:hAnsi="Verdana" w:cs="Arial"/>
          <w:b/>
          <w:spacing w:val="-5"/>
          <w:sz w:val="21"/>
          <w:szCs w:val="21"/>
        </w:rPr>
        <w:t>A</w:t>
      </w:r>
      <w:r w:rsidRPr="005C397C">
        <w:rPr>
          <w:rFonts w:ascii="Verdana" w:eastAsia="Arial" w:hAnsi="Verdana" w:cs="Arial"/>
          <w:b/>
          <w:sz w:val="21"/>
          <w:szCs w:val="21"/>
        </w:rPr>
        <w:t>TURA P</w:t>
      </w:r>
      <w:r w:rsidRPr="005C397C">
        <w:rPr>
          <w:rFonts w:ascii="Verdana" w:eastAsia="Arial" w:hAnsi="Verdana" w:cs="Arial"/>
          <w:b/>
          <w:spacing w:val="3"/>
          <w:sz w:val="21"/>
          <w:szCs w:val="21"/>
        </w:rPr>
        <w:t>O</w:t>
      </w:r>
      <w:r w:rsidRPr="005C397C">
        <w:rPr>
          <w:rFonts w:ascii="Verdana" w:eastAsia="Arial" w:hAnsi="Verdana" w:cs="Arial"/>
          <w:b/>
          <w:sz w:val="21"/>
          <w:szCs w:val="21"/>
        </w:rPr>
        <w:t xml:space="preserve">NENTE: </w:t>
      </w:r>
      <w:r w:rsidRPr="005C397C">
        <w:rPr>
          <w:rFonts w:ascii="Verdana" w:eastAsia="Arial" w:hAnsi="Verdana" w:cs="Arial"/>
          <w:sz w:val="21"/>
          <w:szCs w:val="21"/>
        </w:rPr>
        <w:t>HÉCTOR SALVADOR HERNÁNDEZ GALLEGOS.</w:t>
      </w:r>
    </w:p>
    <w:p w14:paraId="68BFE688" w14:textId="62D5D95A" w:rsidR="00621B67" w:rsidRPr="005C397C" w:rsidRDefault="00621B67" w:rsidP="003E09D7">
      <w:pPr>
        <w:spacing w:before="120"/>
        <w:ind w:left="5103" w:right="51"/>
        <w:jc w:val="both"/>
        <w:rPr>
          <w:rFonts w:ascii="Verdana" w:eastAsia="Arial" w:hAnsi="Verdana" w:cs="Arial"/>
          <w:sz w:val="21"/>
          <w:szCs w:val="21"/>
        </w:rPr>
      </w:pPr>
      <w:r w:rsidRPr="005C397C">
        <w:rPr>
          <w:rFonts w:ascii="Verdana" w:eastAsia="Arial" w:hAnsi="Verdana" w:cs="Arial"/>
          <w:b/>
          <w:bCs/>
          <w:sz w:val="21"/>
          <w:szCs w:val="21"/>
        </w:rPr>
        <w:t>SECRETARIADO DE ESTUDIO:</w:t>
      </w:r>
      <w:r w:rsidRPr="005C397C">
        <w:rPr>
          <w:rFonts w:ascii="Verdana" w:eastAsia="Arial" w:hAnsi="Verdana" w:cs="Arial"/>
          <w:sz w:val="21"/>
          <w:szCs w:val="21"/>
        </w:rPr>
        <w:t xml:space="preserve"> JOEL VALENTÍN JIMÉNEZ ALMANZA.</w:t>
      </w:r>
    </w:p>
    <w:p w14:paraId="051A1600" w14:textId="42CBC7D1" w:rsidR="00621B67" w:rsidRPr="005C397C" w:rsidRDefault="00621B67" w:rsidP="003E09D7">
      <w:pPr>
        <w:spacing w:before="120"/>
        <w:ind w:left="5103" w:right="51"/>
        <w:jc w:val="both"/>
        <w:rPr>
          <w:rFonts w:ascii="Verdana" w:eastAsia="Arial" w:hAnsi="Verdana" w:cs="Arial"/>
          <w:sz w:val="21"/>
          <w:szCs w:val="21"/>
        </w:rPr>
      </w:pPr>
      <w:r w:rsidRPr="005C397C">
        <w:rPr>
          <w:rFonts w:ascii="Verdana" w:eastAsia="Arial" w:hAnsi="Verdana" w:cs="Arial"/>
          <w:b/>
          <w:bCs/>
          <w:sz w:val="21"/>
          <w:szCs w:val="21"/>
        </w:rPr>
        <w:t>SECRETARIADO JURÍDICO:</w:t>
      </w:r>
      <w:r w:rsidRPr="005C397C">
        <w:rPr>
          <w:rFonts w:ascii="Verdana" w:eastAsia="Arial" w:hAnsi="Verdana" w:cs="Arial"/>
          <w:sz w:val="21"/>
          <w:szCs w:val="21"/>
        </w:rPr>
        <w:t xml:space="preserve"> VANESSA SOTO MACÍAS.</w:t>
      </w:r>
    </w:p>
    <w:bookmarkEnd w:id="0"/>
    <w:p w14:paraId="78928F09" w14:textId="77777777" w:rsidR="003F6846" w:rsidRPr="005C397C" w:rsidRDefault="003F6846" w:rsidP="003F6846">
      <w:pPr>
        <w:ind w:left="4962" w:right="49"/>
        <w:jc w:val="both"/>
        <w:rPr>
          <w:rFonts w:ascii="Verdana" w:eastAsia="Arial" w:hAnsi="Verdana" w:cs="Arial"/>
          <w:sz w:val="21"/>
          <w:szCs w:val="21"/>
        </w:rPr>
      </w:pPr>
    </w:p>
    <w:p w14:paraId="263A8674" w14:textId="77777777" w:rsidR="00537F32" w:rsidRPr="005C397C" w:rsidRDefault="00537F32" w:rsidP="00537F32">
      <w:pPr>
        <w:pBdr>
          <w:top w:val="nil"/>
          <w:left w:val="nil"/>
          <w:bottom w:val="nil"/>
          <w:right w:val="nil"/>
          <w:between w:val="nil"/>
        </w:pBdr>
        <w:spacing w:line="360" w:lineRule="auto"/>
        <w:ind w:right="36"/>
        <w:rPr>
          <w:rFonts w:ascii="Verdana" w:eastAsia="Arial Nova" w:hAnsi="Verdana" w:cs="Arial"/>
          <w:sz w:val="21"/>
          <w:szCs w:val="21"/>
        </w:rPr>
      </w:pPr>
    </w:p>
    <w:p w14:paraId="20DA2827" w14:textId="65A6927A" w:rsidR="003F6846" w:rsidRPr="005C397C" w:rsidRDefault="003F6846" w:rsidP="00B273B7">
      <w:pPr>
        <w:pBdr>
          <w:top w:val="nil"/>
          <w:left w:val="nil"/>
          <w:bottom w:val="nil"/>
          <w:right w:val="nil"/>
          <w:between w:val="nil"/>
        </w:pBdr>
        <w:spacing w:before="100" w:beforeAutospacing="1" w:after="100" w:afterAutospacing="1" w:line="360" w:lineRule="auto"/>
        <w:rPr>
          <w:rFonts w:ascii="Verdana" w:eastAsia="Arial Nova" w:hAnsi="Verdana" w:cs="Arial"/>
          <w:sz w:val="21"/>
          <w:szCs w:val="21"/>
        </w:rPr>
      </w:pPr>
      <w:r w:rsidRPr="005C397C">
        <w:rPr>
          <w:rFonts w:ascii="Verdana" w:eastAsia="Arial Nova" w:hAnsi="Verdana" w:cs="Arial"/>
          <w:sz w:val="21"/>
          <w:szCs w:val="21"/>
        </w:rPr>
        <w:t xml:space="preserve">Aguascalientes, Aguascalientes, a </w:t>
      </w:r>
      <w:r w:rsidR="005C397C" w:rsidRPr="005C397C">
        <w:rPr>
          <w:rFonts w:ascii="Verdana" w:eastAsia="Arial Nova" w:hAnsi="Verdana" w:cs="Arial"/>
          <w:sz w:val="21"/>
          <w:szCs w:val="21"/>
        </w:rPr>
        <w:t>dieciséis de</w:t>
      </w:r>
      <w:r w:rsidR="00621B67" w:rsidRPr="005C397C">
        <w:rPr>
          <w:rFonts w:ascii="Verdana" w:eastAsia="Arial Nova" w:hAnsi="Verdana" w:cs="Arial"/>
          <w:sz w:val="21"/>
          <w:szCs w:val="21"/>
        </w:rPr>
        <w:t xml:space="preserve"> marzo</w:t>
      </w:r>
      <w:r w:rsidR="000C3BDF" w:rsidRPr="005C397C">
        <w:rPr>
          <w:rFonts w:ascii="Verdana" w:eastAsia="Arial Nova" w:hAnsi="Verdana" w:cs="Arial"/>
          <w:sz w:val="21"/>
          <w:szCs w:val="21"/>
        </w:rPr>
        <w:t xml:space="preserve"> </w:t>
      </w:r>
      <w:r w:rsidRPr="005C397C">
        <w:rPr>
          <w:rFonts w:ascii="Verdana" w:eastAsia="Arial Nova" w:hAnsi="Verdana" w:cs="Arial"/>
          <w:sz w:val="21"/>
          <w:szCs w:val="21"/>
        </w:rPr>
        <w:t>de dos mil veinti</w:t>
      </w:r>
      <w:r w:rsidR="00621B67" w:rsidRPr="005C397C">
        <w:rPr>
          <w:rFonts w:ascii="Verdana" w:eastAsia="Arial Nova" w:hAnsi="Verdana" w:cs="Arial"/>
          <w:sz w:val="21"/>
          <w:szCs w:val="21"/>
        </w:rPr>
        <w:t>trés</w:t>
      </w:r>
      <w:r w:rsidRPr="005C397C">
        <w:rPr>
          <w:rFonts w:ascii="Verdana" w:eastAsia="Arial Nova" w:hAnsi="Verdana" w:cs="Arial"/>
          <w:sz w:val="21"/>
          <w:szCs w:val="21"/>
        </w:rPr>
        <w:t>.</w:t>
      </w:r>
    </w:p>
    <w:p w14:paraId="4107AFBC" w14:textId="2FE9ABFB" w:rsidR="003F6846" w:rsidRPr="005C397C" w:rsidRDefault="00915676" w:rsidP="00B273B7">
      <w:pPr>
        <w:spacing w:before="100" w:beforeAutospacing="1" w:after="100" w:afterAutospacing="1" w:line="360" w:lineRule="auto"/>
        <w:jc w:val="both"/>
        <w:rPr>
          <w:rFonts w:ascii="Verdana" w:eastAsia="Arial Nova" w:hAnsi="Verdana" w:cs="Arial"/>
          <w:bCs/>
          <w:sz w:val="21"/>
          <w:szCs w:val="21"/>
        </w:rPr>
      </w:pPr>
      <w:bookmarkStart w:id="1" w:name="_30j0zll" w:colFirst="0" w:colLast="0"/>
      <w:bookmarkEnd w:id="1"/>
      <w:r w:rsidRPr="005C397C">
        <w:rPr>
          <w:rFonts w:ascii="Verdana" w:eastAsia="Arial Nova" w:hAnsi="Verdana" w:cs="Arial"/>
          <w:b/>
          <w:sz w:val="21"/>
          <w:szCs w:val="21"/>
        </w:rPr>
        <w:t xml:space="preserve">VISTO, </w:t>
      </w:r>
      <w:r w:rsidRPr="005C397C">
        <w:rPr>
          <w:rFonts w:ascii="Verdana" w:eastAsia="Arial Nova" w:hAnsi="Verdana" w:cs="Arial"/>
          <w:bCs/>
          <w:sz w:val="21"/>
          <w:szCs w:val="21"/>
        </w:rPr>
        <w:t xml:space="preserve">para resolver los autos del Incidente de Incumplimiento de Sentencia al rubro citado, promovido por </w:t>
      </w:r>
      <w:r w:rsidRPr="005C397C">
        <w:rPr>
          <w:rFonts w:ascii="Verdana" w:eastAsia="Arial Nova" w:hAnsi="Verdana" w:cs="Arial"/>
          <w:bCs/>
          <w:color w:val="FFFFFF" w:themeColor="background1"/>
          <w:sz w:val="21"/>
          <w:szCs w:val="21"/>
          <w:highlight w:val="black"/>
        </w:rPr>
        <w:t>ELIMINADO: DATO PERSONAL CONFIDENCIAL</w:t>
      </w:r>
      <w:r w:rsidR="00B730A4" w:rsidRPr="005C397C">
        <w:rPr>
          <w:rFonts w:ascii="Verdana" w:eastAsia="Arial Nova" w:hAnsi="Verdana" w:cs="Arial"/>
          <w:bCs/>
          <w:color w:val="FFFFFF" w:themeColor="background1"/>
          <w:sz w:val="21"/>
          <w:szCs w:val="21"/>
        </w:rPr>
        <w:t xml:space="preserve"> </w:t>
      </w:r>
      <w:r w:rsidR="00B730A4" w:rsidRPr="005C397C">
        <w:rPr>
          <w:rFonts w:ascii="Verdana" w:eastAsia="Arial Nova" w:hAnsi="Verdana" w:cs="Arial"/>
          <w:bCs/>
          <w:color w:val="000000" w:themeColor="text1"/>
          <w:sz w:val="21"/>
          <w:szCs w:val="21"/>
        </w:rPr>
        <w:t>(</w:t>
      </w:r>
      <w:r w:rsidR="00B730A4" w:rsidRPr="005C397C">
        <w:rPr>
          <w:rFonts w:ascii="Verdana" w:eastAsia="Arial Nova" w:hAnsi="Verdana" w:cs="Arial"/>
          <w:bCs/>
          <w:smallCaps/>
          <w:color w:val="000000" w:themeColor="text1"/>
          <w:sz w:val="21"/>
          <w:szCs w:val="21"/>
        </w:rPr>
        <w:t>Persona Denunciante</w:t>
      </w:r>
      <w:r w:rsidR="00B730A4" w:rsidRPr="005C397C">
        <w:rPr>
          <w:rFonts w:ascii="Verdana" w:eastAsia="Arial Nova" w:hAnsi="Verdana" w:cs="Arial"/>
          <w:bCs/>
          <w:color w:val="000000" w:themeColor="text1"/>
          <w:sz w:val="21"/>
          <w:szCs w:val="21"/>
        </w:rPr>
        <w:t>)</w:t>
      </w:r>
      <w:r w:rsidRPr="005C397C">
        <w:rPr>
          <w:rFonts w:ascii="Verdana" w:eastAsia="Arial Nova" w:hAnsi="Verdana" w:cs="Arial"/>
          <w:bCs/>
          <w:sz w:val="21"/>
          <w:szCs w:val="21"/>
        </w:rPr>
        <w:t xml:space="preserve">, </w:t>
      </w:r>
      <w:r w:rsidR="00FA0586" w:rsidRPr="005C397C">
        <w:rPr>
          <w:rFonts w:ascii="Verdana" w:eastAsia="Arial Nova" w:hAnsi="Verdana" w:cs="Arial"/>
          <w:bCs/>
          <w:sz w:val="21"/>
          <w:szCs w:val="21"/>
        </w:rPr>
        <w:t xml:space="preserve">en </w:t>
      </w:r>
      <w:r w:rsidRPr="005C397C">
        <w:rPr>
          <w:rFonts w:ascii="Verdana" w:eastAsia="Arial Nova" w:hAnsi="Verdana" w:cs="Arial"/>
          <w:bCs/>
          <w:sz w:val="21"/>
          <w:szCs w:val="21"/>
        </w:rPr>
        <w:t xml:space="preserve">contra </w:t>
      </w:r>
      <w:r w:rsidR="00FA0586" w:rsidRPr="005C397C">
        <w:rPr>
          <w:rFonts w:ascii="Verdana" w:eastAsia="Arial Nova" w:hAnsi="Verdana" w:cs="Arial"/>
          <w:bCs/>
          <w:sz w:val="21"/>
          <w:szCs w:val="21"/>
        </w:rPr>
        <w:t>d</w:t>
      </w:r>
      <w:r w:rsidRPr="005C397C">
        <w:rPr>
          <w:rFonts w:ascii="Verdana" w:eastAsia="Arial Nova" w:hAnsi="Verdana" w:cs="Arial"/>
          <w:bCs/>
          <w:sz w:val="21"/>
          <w:szCs w:val="21"/>
        </w:rPr>
        <w:t xml:space="preserve">el presunto incumplimiento por parte de </w:t>
      </w:r>
      <w:r w:rsidR="00A617D8" w:rsidRPr="005C397C">
        <w:rPr>
          <w:rFonts w:ascii="Verdana" w:eastAsia="Arial Nova" w:hAnsi="Verdana" w:cs="Arial"/>
          <w:bCs/>
          <w:sz w:val="21"/>
          <w:szCs w:val="21"/>
        </w:rPr>
        <w:t>Fernando Alférez Barbosa (</w:t>
      </w:r>
      <w:r w:rsidR="00A617D8" w:rsidRPr="005C397C">
        <w:rPr>
          <w:rFonts w:ascii="Verdana" w:eastAsia="Arial Nova" w:hAnsi="Verdana" w:cs="Arial"/>
          <w:bCs/>
          <w:smallCaps/>
          <w:sz w:val="21"/>
          <w:szCs w:val="21"/>
        </w:rPr>
        <w:t>Persona Denunciada</w:t>
      </w:r>
      <w:r w:rsidR="00A617D8" w:rsidRPr="005C397C">
        <w:rPr>
          <w:rFonts w:ascii="Verdana" w:eastAsia="Arial Nova" w:hAnsi="Verdana" w:cs="Arial"/>
          <w:bCs/>
          <w:sz w:val="21"/>
          <w:szCs w:val="21"/>
        </w:rPr>
        <w:t>)</w:t>
      </w:r>
      <w:r w:rsidRPr="005C397C">
        <w:rPr>
          <w:rFonts w:ascii="Verdana" w:eastAsia="Arial Nova" w:hAnsi="Verdana" w:cs="Arial"/>
          <w:bCs/>
          <w:sz w:val="21"/>
          <w:szCs w:val="21"/>
        </w:rPr>
        <w:t>, de la sentencia dictada por este Tribunal Electoral</w:t>
      </w:r>
      <w:r w:rsidR="00B342A1" w:rsidRPr="005C397C">
        <w:rPr>
          <w:rFonts w:ascii="Verdana" w:eastAsia="Arial Nova" w:hAnsi="Verdana" w:cs="Arial"/>
          <w:bCs/>
          <w:sz w:val="21"/>
          <w:szCs w:val="21"/>
        </w:rPr>
        <w:t xml:space="preserve"> del Estado de Aguascalientes (</w:t>
      </w:r>
      <w:r w:rsidR="00B342A1" w:rsidRPr="005C397C">
        <w:rPr>
          <w:rFonts w:ascii="Verdana" w:eastAsia="Arial Nova" w:hAnsi="Verdana" w:cs="Arial"/>
          <w:bCs/>
          <w:smallCaps/>
          <w:sz w:val="21"/>
          <w:szCs w:val="21"/>
        </w:rPr>
        <w:t>Tribunal Electoral</w:t>
      </w:r>
      <w:r w:rsidR="00B342A1" w:rsidRPr="005C397C">
        <w:rPr>
          <w:rFonts w:ascii="Verdana" w:eastAsia="Arial Nova" w:hAnsi="Verdana" w:cs="Arial"/>
          <w:bCs/>
          <w:sz w:val="21"/>
          <w:szCs w:val="21"/>
        </w:rPr>
        <w:t>)</w:t>
      </w:r>
      <w:r w:rsidRPr="005C397C">
        <w:rPr>
          <w:rFonts w:ascii="Verdana" w:eastAsia="Arial Nova" w:hAnsi="Verdana" w:cs="Arial"/>
          <w:bCs/>
          <w:sz w:val="21"/>
          <w:szCs w:val="21"/>
        </w:rPr>
        <w:t>, el treinta de marzo de dos mil veintidós, en el Procedimiento Especial Sancionador origen de la presente incidencia</w:t>
      </w:r>
      <w:r w:rsidR="00217937" w:rsidRPr="005C397C">
        <w:rPr>
          <w:rFonts w:ascii="Verdana" w:eastAsia="Arial Nova" w:hAnsi="Verdana" w:cs="Arial"/>
          <w:bCs/>
          <w:sz w:val="21"/>
          <w:szCs w:val="21"/>
        </w:rPr>
        <w:t>.</w:t>
      </w:r>
    </w:p>
    <w:p w14:paraId="63B59104" w14:textId="380AEBE7" w:rsidR="00FA0586" w:rsidRPr="005C397C" w:rsidRDefault="00FA0586" w:rsidP="00B273B7">
      <w:pPr>
        <w:spacing w:before="100" w:beforeAutospacing="1" w:after="100" w:afterAutospacing="1" w:line="360" w:lineRule="auto"/>
        <w:jc w:val="both"/>
        <w:rPr>
          <w:rFonts w:ascii="Verdana" w:eastAsia="Arial Nova" w:hAnsi="Verdana" w:cs="Arial"/>
          <w:sz w:val="21"/>
          <w:szCs w:val="21"/>
        </w:rPr>
      </w:pPr>
      <w:r w:rsidRPr="005C397C">
        <w:rPr>
          <w:rFonts w:ascii="Verdana" w:eastAsia="Arial Nova" w:hAnsi="Verdana" w:cs="Arial"/>
          <w:sz w:val="21"/>
          <w:szCs w:val="21"/>
        </w:rPr>
        <w:t>Las fechas señaladas corresponden al año dos mil veintitrés, salvo precisión en contrario.</w:t>
      </w:r>
    </w:p>
    <w:p w14:paraId="5EED971C" w14:textId="4F41E2A6" w:rsidR="003F6846" w:rsidRPr="005C397C" w:rsidRDefault="003F6846" w:rsidP="00B273B7">
      <w:pPr>
        <w:spacing w:before="100" w:beforeAutospacing="1" w:after="100" w:afterAutospacing="1" w:line="360" w:lineRule="auto"/>
        <w:jc w:val="both"/>
        <w:rPr>
          <w:rFonts w:ascii="Verdana" w:eastAsia="Arial Nova" w:hAnsi="Verdana" w:cs="Arial"/>
          <w:sz w:val="21"/>
          <w:szCs w:val="21"/>
        </w:rPr>
      </w:pPr>
      <w:r w:rsidRPr="005C397C">
        <w:rPr>
          <w:rFonts w:ascii="Verdana" w:eastAsia="Arial Nova" w:hAnsi="Verdana" w:cs="Arial"/>
          <w:b/>
          <w:bCs/>
          <w:sz w:val="21"/>
          <w:szCs w:val="21"/>
        </w:rPr>
        <w:t>1. ANTECEDENTES.</w:t>
      </w:r>
      <w:r w:rsidRPr="005C397C">
        <w:rPr>
          <w:rFonts w:ascii="Verdana" w:eastAsia="Arial Nova" w:hAnsi="Verdana" w:cs="Arial"/>
          <w:sz w:val="21"/>
          <w:szCs w:val="21"/>
        </w:rPr>
        <w:t xml:space="preserve"> </w:t>
      </w:r>
    </w:p>
    <w:p w14:paraId="1720754F" w14:textId="17ED8F19" w:rsidR="003F6846" w:rsidRPr="005C397C" w:rsidRDefault="003F6846" w:rsidP="00B273B7">
      <w:pPr>
        <w:spacing w:before="100" w:beforeAutospacing="1" w:after="100" w:afterAutospacing="1" w:line="360" w:lineRule="auto"/>
        <w:jc w:val="both"/>
        <w:rPr>
          <w:rFonts w:ascii="Verdana" w:eastAsia="Arial Nova" w:hAnsi="Verdana" w:cs="Arial"/>
          <w:sz w:val="21"/>
          <w:szCs w:val="21"/>
        </w:rPr>
      </w:pPr>
      <w:r w:rsidRPr="005C397C">
        <w:rPr>
          <w:rFonts w:ascii="Verdana" w:eastAsia="Arial Nova" w:hAnsi="Verdana" w:cs="Arial"/>
          <w:sz w:val="21"/>
          <w:szCs w:val="21"/>
        </w:rPr>
        <w:t>De la narración de hechos de</w:t>
      </w:r>
      <w:r w:rsidR="00915676" w:rsidRPr="005C397C">
        <w:rPr>
          <w:rFonts w:ascii="Verdana" w:eastAsia="Arial Nova" w:hAnsi="Verdana" w:cs="Arial"/>
          <w:sz w:val="21"/>
          <w:szCs w:val="21"/>
        </w:rPr>
        <w:t>l incidente</w:t>
      </w:r>
      <w:r w:rsidRPr="005C397C">
        <w:rPr>
          <w:rFonts w:ascii="Verdana" w:eastAsia="Arial Nova" w:hAnsi="Verdana" w:cs="Arial"/>
          <w:sz w:val="21"/>
          <w:szCs w:val="21"/>
        </w:rPr>
        <w:t>, así como de las constancias que obran en el expediente, se advierte lo siguiente:</w:t>
      </w:r>
    </w:p>
    <w:p w14:paraId="4C97EA43" w14:textId="66C05844" w:rsidR="000C3BDF" w:rsidRPr="005C397C" w:rsidRDefault="00915676"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bookmarkStart w:id="2" w:name="_1fob9te" w:colFirst="0" w:colLast="0"/>
      <w:bookmarkEnd w:id="2"/>
      <w:r w:rsidRPr="005C397C">
        <w:rPr>
          <w:rFonts w:ascii="Verdana" w:eastAsia="Arial Nova" w:hAnsi="Verdana" w:cs="Arial"/>
          <w:b/>
          <w:sz w:val="21"/>
          <w:szCs w:val="21"/>
        </w:rPr>
        <w:t xml:space="preserve">1.1. Proceso Electoral. </w:t>
      </w:r>
      <w:r w:rsidRPr="005C397C">
        <w:rPr>
          <w:rFonts w:ascii="Verdana" w:eastAsia="Arial Nova" w:hAnsi="Verdana" w:cs="Arial"/>
          <w:bCs/>
          <w:sz w:val="21"/>
          <w:szCs w:val="21"/>
        </w:rPr>
        <w:t>El siete de octubre de dos mil veintiuno, dio inicio el proceso electoral local 2021-2022 para la renovación de la Gubernatura del Estado de Aguascalientes.</w:t>
      </w:r>
    </w:p>
    <w:p w14:paraId="0F51F588" w14:textId="0F358252" w:rsidR="00FC754A" w:rsidRPr="005C397C" w:rsidRDefault="00FC754A"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lastRenderedPageBreak/>
        <w:t xml:space="preserve">1.2. Registro de precandidatura. </w:t>
      </w:r>
      <w:r w:rsidRPr="005C397C">
        <w:rPr>
          <w:rFonts w:ascii="Verdana" w:eastAsia="Arial Nova" w:hAnsi="Verdana" w:cs="Arial"/>
          <w:bCs/>
          <w:sz w:val="21"/>
          <w:szCs w:val="21"/>
        </w:rPr>
        <w:t>El nueve de febrero de dos mil veintidós,</w:t>
      </w:r>
      <w:r w:rsidR="00B730A4" w:rsidRPr="005C397C">
        <w:rPr>
          <w:rFonts w:ascii="Verdana" w:eastAsia="Arial Nova" w:hAnsi="Verdana" w:cs="Arial"/>
          <w:bCs/>
          <w:sz w:val="21"/>
          <w:szCs w:val="21"/>
        </w:rPr>
        <w:t xml:space="preserve"> la </w:t>
      </w:r>
      <w:r w:rsidR="00B730A4" w:rsidRPr="005C397C">
        <w:rPr>
          <w:rFonts w:ascii="Verdana" w:eastAsia="Arial Nova" w:hAnsi="Verdana" w:cs="Arial"/>
          <w:bCs/>
          <w:smallCaps/>
          <w:sz w:val="21"/>
          <w:szCs w:val="21"/>
        </w:rPr>
        <w:t>Persona Denunciante</w:t>
      </w:r>
      <w:r w:rsidRPr="005C397C">
        <w:rPr>
          <w:rFonts w:ascii="Verdana" w:eastAsia="Arial Nova" w:hAnsi="Verdana" w:cs="Arial"/>
          <w:bCs/>
          <w:sz w:val="21"/>
          <w:szCs w:val="21"/>
        </w:rPr>
        <w:t xml:space="preserve"> se registró como precandidata a la gubernatura de Aguascalientes por el partido político Fuerza por México.</w:t>
      </w:r>
    </w:p>
    <w:p w14:paraId="0C07D5AC" w14:textId="4F7CA6F1" w:rsidR="000C3BDF" w:rsidRPr="005C397C" w:rsidRDefault="00FC754A"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1.3. Presentación de la denuncia. </w:t>
      </w:r>
      <w:r w:rsidRPr="005C397C">
        <w:rPr>
          <w:rFonts w:ascii="Verdana" w:eastAsia="Arial Nova" w:hAnsi="Verdana" w:cs="Arial"/>
          <w:bCs/>
          <w:sz w:val="21"/>
          <w:szCs w:val="21"/>
        </w:rPr>
        <w:t>El catorce de marzo</w:t>
      </w:r>
      <w:r w:rsidR="009B0126" w:rsidRPr="005C397C">
        <w:rPr>
          <w:rFonts w:ascii="Verdana" w:eastAsia="Arial Nova" w:hAnsi="Verdana" w:cs="Arial"/>
          <w:bCs/>
          <w:sz w:val="21"/>
          <w:szCs w:val="21"/>
        </w:rPr>
        <w:t xml:space="preserve"> del año inmediato anterior</w:t>
      </w:r>
      <w:r w:rsidRPr="005C397C">
        <w:rPr>
          <w:rFonts w:ascii="Verdana" w:eastAsia="Arial Nova" w:hAnsi="Verdana" w:cs="Arial"/>
          <w:bCs/>
          <w:sz w:val="21"/>
          <w:szCs w:val="21"/>
        </w:rPr>
        <w:t xml:space="preserve">, la </w:t>
      </w:r>
      <w:r w:rsidR="00B730A4" w:rsidRPr="005C397C">
        <w:rPr>
          <w:rFonts w:ascii="Verdana" w:eastAsia="Arial Nova" w:hAnsi="Verdana" w:cs="Arial"/>
          <w:bCs/>
          <w:smallCaps/>
          <w:sz w:val="21"/>
          <w:szCs w:val="21"/>
        </w:rPr>
        <w:t>Persona Denunciante</w:t>
      </w:r>
      <w:r w:rsidRPr="005C397C">
        <w:rPr>
          <w:rFonts w:ascii="Verdana" w:eastAsia="Arial Nova" w:hAnsi="Verdana" w:cs="Arial"/>
          <w:bCs/>
          <w:sz w:val="21"/>
          <w:szCs w:val="21"/>
        </w:rPr>
        <w:t xml:space="preserve"> presentó un escrito de queja en contra de</w:t>
      </w:r>
      <w:r w:rsidR="00FA73D4" w:rsidRPr="005C397C">
        <w:rPr>
          <w:rFonts w:ascii="Verdana" w:eastAsia="Arial Nova" w:hAnsi="Verdana" w:cs="Arial"/>
          <w:bCs/>
          <w:sz w:val="21"/>
          <w:szCs w:val="21"/>
        </w:rPr>
        <w:t xml:space="preserve"> la</w:t>
      </w:r>
      <w:r w:rsidRPr="005C397C">
        <w:rPr>
          <w:rFonts w:ascii="Verdana" w:eastAsia="Arial Nova" w:hAnsi="Verdana" w:cs="Arial"/>
          <w:bCs/>
          <w:sz w:val="21"/>
          <w:szCs w:val="21"/>
        </w:rPr>
        <w:t xml:space="preserve"> </w:t>
      </w:r>
      <w:r w:rsidR="00A617D8" w:rsidRPr="005C397C">
        <w:rPr>
          <w:rFonts w:ascii="Verdana" w:eastAsia="Arial Nova" w:hAnsi="Verdana" w:cs="Arial"/>
          <w:bCs/>
          <w:smallCaps/>
          <w:sz w:val="21"/>
          <w:szCs w:val="21"/>
        </w:rPr>
        <w:t>Persona Denunciada</w:t>
      </w:r>
      <w:r w:rsidRPr="005C397C">
        <w:rPr>
          <w:rFonts w:ascii="Verdana" w:eastAsia="Arial Nova" w:hAnsi="Verdana" w:cs="Arial"/>
          <w:bCs/>
          <w:sz w:val="21"/>
          <w:szCs w:val="21"/>
        </w:rPr>
        <w:t xml:space="preserve">, por la presunta comisión de actos que actualizan </w:t>
      </w:r>
      <w:r w:rsidR="00FB3534" w:rsidRPr="005C397C">
        <w:rPr>
          <w:rFonts w:ascii="Verdana" w:eastAsia="Arial Nova" w:hAnsi="Verdana" w:cs="Arial"/>
          <w:bCs/>
          <w:sz w:val="21"/>
          <w:szCs w:val="21"/>
        </w:rPr>
        <w:t>Violencia Política Contra la Mujer en Razón de Género (</w:t>
      </w:r>
      <w:r w:rsidR="00FB3534" w:rsidRPr="005C397C">
        <w:rPr>
          <w:rFonts w:ascii="Verdana" w:eastAsia="Arial Nova" w:hAnsi="Verdana" w:cs="Arial"/>
          <w:bCs/>
          <w:smallCaps/>
          <w:sz w:val="21"/>
          <w:szCs w:val="21"/>
        </w:rPr>
        <w:t>VPMG</w:t>
      </w:r>
      <w:r w:rsidR="00FB3534" w:rsidRPr="005C397C">
        <w:rPr>
          <w:rFonts w:ascii="Verdana" w:eastAsia="Arial Nova" w:hAnsi="Verdana" w:cs="Arial"/>
          <w:bCs/>
          <w:sz w:val="21"/>
          <w:szCs w:val="21"/>
        </w:rPr>
        <w:t>)</w:t>
      </w:r>
      <w:r w:rsidRPr="005C397C">
        <w:rPr>
          <w:rFonts w:ascii="Verdana" w:eastAsia="Arial Nova" w:hAnsi="Verdana" w:cs="Arial"/>
          <w:bCs/>
          <w:sz w:val="21"/>
          <w:szCs w:val="21"/>
        </w:rPr>
        <w:t>.</w:t>
      </w:r>
    </w:p>
    <w:p w14:paraId="5457D7BA" w14:textId="510942CF" w:rsidR="000C3BDF" w:rsidRPr="005C397C" w:rsidRDefault="000C3BDF"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1.4. </w:t>
      </w:r>
      <w:r w:rsidR="00050CB3" w:rsidRPr="005C397C">
        <w:rPr>
          <w:rFonts w:ascii="Verdana" w:eastAsia="Arial Nova" w:hAnsi="Verdana" w:cs="Arial"/>
          <w:b/>
          <w:sz w:val="21"/>
          <w:szCs w:val="21"/>
        </w:rPr>
        <w:t xml:space="preserve">Turno del expediente. </w:t>
      </w:r>
      <w:r w:rsidR="00050CB3" w:rsidRPr="005C397C">
        <w:rPr>
          <w:rFonts w:ascii="Verdana" w:eastAsia="Arial Nova" w:hAnsi="Verdana" w:cs="Arial"/>
          <w:bCs/>
          <w:sz w:val="21"/>
          <w:szCs w:val="21"/>
        </w:rPr>
        <w:t xml:space="preserve">El veintitrés de marzo de dos mil veintidós, mediante Acuerdo de Turno de Presidencia, se ordenó el registro del asunto en el Libro de Gobierno de Procedimientos Especiales Sancionadores, al que correspondió el número de expediente TEEA-PES-009/2022 y se turnó a la Ponencia del Magistrado Héctor Salvador Hernández Gallegos. </w:t>
      </w:r>
    </w:p>
    <w:p w14:paraId="701726E0" w14:textId="030094EF" w:rsidR="00050CB3" w:rsidRPr="005C397C" w:rsidRDefault="00050CB3"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1.5. Sentencia. </w:t>
      </w:r>
      <w:r w:rsidRPr="005C397C">
        <w:rPr>
          <w:rFonts w:ascii="Verdana" w:eastAsia="Arial Nova" w:hAnsi="Verdana" w:cs="Arial"/>
          <w:bCs/>
          <w:sz w:val="21"/>
          <w:szCs w:val="21"/>
        </w:rPr>
        <w:t>El treinta de marzo siguiente, se d</w:t>
      </w:r>
      <w:r w:rsidR="00FA0586" w:rsidRPr="005C397C">
        <w:rPr>
          <w:rFonts w:ascii="Verdana" w:eastAsia="Arial Nova" w:hAnsi="Verdana" w:cs="Arial"/>
          <w:bCs/>
          <w:sz w:val="21"/>
          <w:szCs w:val="21"/>
        </w:rPr>
        <w:t>ictó</w:t>
      </w:r>
      <w:r w:rsidRPr="005C397C">
        <w:rPr>
          <w:rFonts w:ascii="Verdana" w:eastAsia="Arial Nova" w:hAnsi="Verdana" w:cs="Arial"/>
          <w:bCs/>
          <w:sz w:val="21"/>
          <w:szCs w:val="21"/>
        </w:rPr>
        <w:t xml:space="preserve"> sentencia definitiva</w:t>
      </w:r>
      <w:r w:rsidR="00FA0586" w:rsidRPr="005C397C">
        <w:rPr>
          <w:rFonts w:ascii="Verdana" w:eastAsia="Arial Nova" w:hAnsi="Verdana" w:cs="Arial"/>
          <w:bCs/>
          <w:sz w:val="21"/>
          <w:szCs w:val="21"/>
        </w:rPr>
        <w:t>,</w:t>
      </w:r>
      <w:r w:rsidRPr="005C397C">
        <w:rPr>
          <w:rFonts w:ascii="Verdana" w:eastAsia="Arial Nova" w:hAnsi="Verdana" w:cs="Arial"/>
          <w:bCs/>
          <w:sz w:val="21"/>
          <w:szCs w:val="21"/>
        </w:rPr>
        <w:t xml:space="preserve"> en la cual se determinó la existencia de la infracción </w:t>
      </w:r>
      <w:r w:rsidR="007E1A62" w:rsidRPr="005C397C">
        <w:rPr>
          <w:rFonts w:ascii="Verdana" w:eastAsia="Arial Nova" w:hAnsi="Verdana" w:cs="Arial"/>
          <w:bCs/>
          <w:sz w:val="21"/>
          <w:szCs w:val="21"/>
        </w:rPr>
        <w:t>relativa a VPMG, atribuida a</w:t>
      </w:r>
      <w:r w:rsidR="00FA73D4" w:rsidRPr="005C397C">
        <w:rPr>
          <w:rFonts w:ascii="Verdana" w:eastAsia="Arial Nova" w:hAnsi="Verdana" w:cs="Arial"/>
          <w:bCs/>
          <w:sz w:val="21"/>
          <w:szCs w:val="21"/>
        </w:rPr>
        <w:t xml:space="preserve"> la</w:t>
      </w:r>
      <w:r w:rsidR="007E1A62" w:rsidRPr="005C397C">
        <w:rPr>
          <w:rFonts w:ascii="Verdana" w:eastAsia="Arial Nova" w:hAnsi="Verdana" w:cs="Arial"/>
          <w:bCs/>
          <w:sz w:val="21"/>
          <w:szCs w:val="21"/>
        </w:rPr>
        <w:t xml:space="preserve"> </w:t>
      </w:r>
      <w:r w:rsidR="00A617D8" w:rsidRPr="005C397C">
        <w:rPr>
          <w:rFonts w:ascii="Verdana" w:eastAsia="Arial Nova" w:hAnsi="Verdana" w:cs="Arial"/>
          <w:bCs/>
          <w:smallCaps/>
          <w:sz w:val="21"/>
          <w:szCs w:val="21"/>
        </w:rPr>
        <w:t>Persona Denunciada</w:t>
      </w:r>
      <w:r w:rsidR="007E1A62" w:rsidRPr="005C397C">
        <w:rPr>
          <w:rFonts w:ascii="Verdana" w:eastAsia="Arial Nova" w:hAnsi="Verdana" w:cs="Arial"/>
          <w:bCs/>
          <w:sz w:val="21"/>
          <w:szCs w:val="21"/>
        </w:rPr>
        <w:t xml:space="preserve">, derivado de diversas expresiones efectuadas en perjuicio de la </w:t>
      </w:r>
      <w:r w:rsidR="003E5C48" w:rsidRPr="005C397C">
        <w:rPr>
          <w:rFonts w:ascii="Verdana" w:eastAsia="Arial Nova" w:hAnsi="Verdana" w:cs="Arial"/>
          <w:bCs/>
          <w:smallCaps/>
          <w:sz w:val="21"/>
          <w:szCs w:val="21"/>
        </w:rPr>
        <w:t>Persona D</w:t>
      </w:r>
      <w:r w:rsidR="007E1A62" w:rsidRPr="005C397C">
        <w:rPr>
          <w:rFonts w:ascii="Verdana" w:eastAsia="Arial Nova" w:hAnsi="Verdana" w:cs="Arial"/>
          <w:bCs/>
          <w:smallCaps/>
          <w:sz w:val="21"/>
          <w:szCs w:val="21"/>
        </w:rPr>
        <w:t>enunciante</w:t>
      </w:r>
      <w:r w:rsidR="007E1A62" w:rsidRPr="005C397C">
        <w:rPr>
          <w:rFonts w:ascii="Verdana" w:eastAsia="Arial Nova" w:hAnsi="Verdana" w:cs="Arial"/>
          <w:bCs/>
          <w:sz w:val="21"/>
          <w:szCs w:val="21"/>
        </w:rPr>
        <w:t>.</w:t>
      </w:r>
    </w:p>
    <w:p w14:paraId="14919529" w14:textId="2F066E52" w:rsidR="007E1A62" w:rsidRPr="005C397C" w:rsidRDefault="007E1A62"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1.6. Sanción.</w:t>
      </w:r>
      <w:r w:rsidRPr="005C397C">
        <w:rPr>
          <w:rFonts w:ascii="Verdana" w:eastAsia="Arial Nova" w:hAnsi="Verdana" w:cs="Arial"/>
          <w:bCs/>
          <w:sz w:val="21"/>
          <w:szCs w:val="21"/>
        </w:rPr>
        <w:t xml:space="preserve"> Se impuso una multa consistente en la cantidad de $4,481.00 (cuatro mil cuatrocientos ochenta y un pesos 00/100 M.N.)</w:t>
      </w:r>
      <w:r w:rsidR="00E32995" w:rsidRPr="005C397C">
        <w:rPr>
          <w:rFonts w:ascii="Verdana" w:eastAsia="Arial Nova" w:hAnsi="Verdana" w:cs="Arial"/>
          <w:bCs/>
          <w:sz w:val="21"/>
          <w:szCs w:val="21"/>
        </w:rPr>
        <w:t>;</w:t>
      </w:r>
      <w:r w:rsidRPr="005C397C">
        <w:rPr>
          <w:rFonts w:ascii="Verdana" w:eastAsia="Arial Nova" w:hAnsi="Verdana" w:cs="Arial"/>
          <w:bCs/>
          <w:sz w:val="21"/>
          <w:szCs w:val="21"/>
        </w:rPr>
        <w:t xml:space="preserve"> se dio vista a la Fiscalía Especializada en Delitos Electorales en el Estado</w:t>
      </w:r>
      <w:r w:rsidR="00E32995" w:rsidRPr="005C397C">
        <w:rPr>
          <w:rFonts w:ascii="Verdana" w:eastAsia="Arial Nova" w:hAnsi="Verdana" w:cs="Arial"/>
          <w:bCs/>
          <w:sz w:val="21"/>
          <w:szCs w:val="21"/>
        </w:rPr>
        <w:t xml:space="preserve">; </w:t>
      </w:r>
      <w:r w:rsidRPr="005C397C">
        <w:rPr>
          <w:rFonts w:ascii="Verdana" w:eastAsia="Arial Nova" w:hAnsi="Verdana" w:cs="Arial"/>
          <w:bCs/>
          <w:sz w:val="21"/>
          <w:szCs w:val="21"/>
        </w:rPr>
        <w:t>medidas de reparación integral</w:t>
      </w:r>
      <w:r w:rsidR="00E32995" w:rsidRPr="005C397C">
        <w:rPr>
          <w:rFonts w:ascii="Verdana" w:eastAsia="Arial Nova" w:hAnsi="Verdana" w:cs="Arial"/>
          <w:bCs/>
          <w:sz w:val="21"/>
          <w:szCs w:val="21"/>
        </w:rPr>
        <w:t xml:space="preserve"> y se dio de alta en el Catálogo de Sujetos Sancionados. </w:t>
      </w:r>
      <w:r w:rsidRPr="005C397C">
        <w:rPr>
          <w:rFonts w:ascii="Verdana" w:eastAsia="Arial Nova" w:hAnsi="Verdana" w:cs="Arial"/>
          <w:bCs/>
          <w:sz w:val="21"/>
          <w:szCs w:val="21"/>
        </w:rPr>
        <w:t xml:space="preserve"> </w:t>
      </w:r>
    </w:p>
    <w:p w14:paraId="6AE02E49" w14:textId="643A54EC" w:rsidR="007E1A62" w:rsidRPr="005C397C" w:rsidRDefault="007E1A62"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1.7. </w:t>
      </w:r>
      <w:r w:rsidR="003E171B" w:rsidRPr="005C397C">
        <w:rPr>
          <w:rFonts w:ascii="Verdana" w:eastAsia="Arial Nova" w:hAnsi="Verdana" w:cs="Arial"/>
          <w:b/>
          <w:sz w:val="21"/>
          <w:szCs w:val="21"/>
        </w:rPr>
        <w:t xml:space="preserve">Impugnación federal SUP-JRC-0031/2022. </w:t>
      </w:r>
      <w:r w:rsidR="003E171B" w:rsidRPr="005C397C">
        <w:rPr>
          <w:rFonts w:ascii="Verdana" w:eastAsia="Arial Nova" w:hAnsi="Verdana" w:cs="Arial"/>
          <w:bCs/>
          <w:sz w:val="21"/>
          <w:szCs w:val="21"/>
        </w:rPr>
        <w:t xml:space="preserve">El primero de abril de dos mil veintidós, </w:t>
      </w:r>
      <w:r w:rsidR="00FA0586" w:rsidRPr="005C397C">
        <w:rPr>
          <w:rFonts w:ascii="Verdana" w:eastAsia="Arial Nova" w:hAnsi="Verdana" w:cs="Arial"/>
          <w:bCs/>
          <w:sz w:val="21"/>
          <w:szCs w:val="21"/>
        </w:rPr>
        <w:t xml:space="preserve">inconforme con la sentencia, </w:t>
      </w:r>
      <w:r w:rsidR="003E5C48" w:rsidRPr="005C397C">
        <w:rPr>
          <w:rFonts w:ascii="Verdana" w:eastAsia="Arial Nova" w:hAnsi="Verdana" w:cs="Arial"/>
          <w:bCs/>
          <w:sz w:val="21"/>
          <w:szCs w:val="21"/>
        </w:rPr>
        <w:t xml:space="preserve">la </w:t>
      </w:r>
      <w:r w:rsidR="003E5C48" w:rsidRPr="005C397C">
        <w:rPr>
          <w:rFonts w:ascii="Verdana" w:eastAsia="Arial Nova" w:hAnsi="Verdana" w:cs="Arial"/>
          <w:bCs/>
          <w:smallCaps/>
          <w:sz w:val="21"/>
          <w:szCs w:val="21"/>
        </w:rPr>
        <w:t>Persona Denunciada</w:t>
      </w:r>
      <w:r w:rsidR="003E171B" w:rsidRPr="005C397C">
        <w:rPr>
          <w:rFonts w:ascii="Verdana" w:eastAsia="Arial Nova" w:hAnsi="Verdana" w:cs="Arial"/>
          <w:bCs/>
          <w:sz w:val="21"/>
          <w:szCs w:val="21"/>
        </w:rPr>
        <w:t xml:space="preserve"> impugnó -ante la Sala Superior </w:t>
      </w:r>
      <w:r w:rsidR="00086AB7" w:rsidRPr="005C397C">
        <w:rPr>
          <w:rFonts w:ascii="Verdana" w:eastAsia="Arial Nova" w:hAnsi="Verdana" w:cs="Arial"/>
          <w:bCs/>
          <w:sz w:val="21"/>
          <w:szCs w:val="21"/>
        </w:rPr>
        <w:t>del Tribunal Electoral</w:t>
      </w:r>
      <w:r w:rsidR="00B342A1" w:rsidRPr="005C397C">
        <w:rPr>
          <w:rFonts w:ascii="Verdana" w:eastAsia="Arial Nova" w:hAnsi="Verdana" w:cs="Arial"/>
          <w:bCs/>
          <w:sz w:val="21"/>
          <w:szCs w:val="21"/>
        </w:rPr>
        <w:t xml:space="preserve"> </w:t>
      </w:r>
      <w:r w:rsidR="003E171B" w:rsidRPr="005C397C">
        <w:rPr>
          <w:rFonts w:ascii="Verdana" w:eastAsia="Arial Nova" w:hAnsi="Verdana" w:cs="Arial"/>
          <w:bCs/>
          <w:sz w:val="21"/>
          <w:szCs w:val="21"/>
        </w:rPr>
        <w:t>del Poder Judicial de la Federación</w:t>
      </w:r>
      <w:r w:rsidR="004C6146" w:rsidRPr="005C397C">
        <w:rPr>
          <w:rFonts w:ascii="Verdana" w:eastAsia="Arial Nova" w:hAnsi="Verdana" w:cs="Arial"/>
          <w:bCs/>
          <w:sz w:val="21"/>
          <w:szCs w:val="21"/>
        </w:rPr>
        <w:t xml:space="preserve"> (</w:t>
      </w:r>
      <w:r w:rsidR="004C6146" w:rsidRPr="005C397C">
        <w:rPr>
          <w:rFonts w:ascii="Verdana" w:eastAsia="Arial Nova" w:hAnsi="Verdana" w:cs="Arial"/>
          <w:bCs/>
          <w:smallCaps/>
          <w:sz w:val="21"/>
          <w:szCs w:val="21"/>
        </w:rPr>
        <w:t>Sala Superior</w:t>
      </w:r>
      <w:r w:rsidR="004C6146" w:rsidRPr="005C397C">
        <w:rPr>
          <w:rFonts w:ascii="Verdana" w:eastAsia="Arial Nova" w:hAnsi="Verdana" w:cs="Arial"/>
          <w:bCs/>
          <w:sz w:val="21"/>
          <w:szCs w:val="21"/>
        </w:rPr>
        <w:t>)</w:t>
      </w:r>
      <w:r w:rsidR="003E171B" w:rsidRPr="005C397C">
        <w:rPr>
          <w:rFonts w:ascii="Verdana" w:eastAsia="Arial Nova" w:hAnsi="Verdana" w:cs="Arial"/>
          <w:bCs/>
          <w:sz w:val="21"/>
          <w:szCs w:val="21"/>
        </w:rPr>
        <w:t xml:space="preserve">-, </w:t>
      </w:r>
      <w:r w:rsidR="00FA0586" w:rsidRPr="005C397C">
        <w:rPr>
          <w:rFonts w:ascii="Verdana" w:eastAsia="Arial Nova" w:hAnsi="Verdana" w:cs="Arial"/>
          <w:bCs/>
          <w:sz w:val="21"/>
          <w:szCs w:val="21"/>
        </w:rPr>
        <w:t>confirmándose</w:t>
      </w:r>
      <w:r w:rsidR="003E171B" w:rsidRPr="005C397C">
        <w:rPr>
          <w:rFonts w:ascii="Verdana" w:eastAsia="Arial Nova" w:hAnsi="Verdana" w:cs="Arial"/>
          <w:bCs/>
          <w:sz w:val="21"/>
          <w:szCs w:val="21"/>
        </w:rPr>
        <w:t xml:space="preserve"> </w:t>
      </w:r>
      <w:r w:rsidR="00FA0586" w:rsidRPr="005C397C">
        <w:rPr>
          <w:rFonts w:ascii="Verdana" w:eastAsia="Arial Nova" w:hAnsi="Verdana" w:cs="Arial"/>
          <w:bCs/>
          <w:sz w:val="21"/>
          <w:szCs w:val="21"/>
        </w:rPr>
        <w:t>la resolución dictada</w:t>
      </w:r>
      <w:r w:rsidR="003E171B" w:rsidRPr="005C397C">
        <w:rPr>
          <w:rFonts w:ascii="Verdana" w:eastAsia="Arial Nova" w:hAnsi="Verdana" w:cs="Arial"/>
          <w:bCs/>
          <w:sz w:val="21"/>
          <w:szCs w:val="21"/>
        </w:rPr>
        <w:t xml:space="preserve"> por este </w:t>
      </w:r>
      <w:r w:rsidR="003E171B" w:rsidRPr="005C397C">
        <w:rPr>
          <w:rFonts w:ascii="Verdana" w:eastAsia="Arial Nova" w:hAnsi="Verdana" w:cs="Arial"/>
          <w:bCs/>
          <w:smallCaps/>
          <w:sz w:val="21"/>
          <w:szCs w:val="21"/>
        </w:rPr>
        <w:t xml:space="preserve">Tribunal </w:t>
      </w:r>
      <w:r w:rsidR="003E5C48" w:rsidRPr="005C397C">
        <w:rPr>
          <w:rFonts w:ascii="Verdana" w:eastAsia="Arial Nova" w:hAnsi="Verdana" w:cs="Arial"/>
          <w:bCs/>
          <w:smallCaps/>
          <w:sz w:val="21"/>
          <w:szCs w:val="21"/>
        </w:rPr>
        <w:t>Electoral</w:t>
      </w:r>
      <w:r w:rsidR="003E171B" w:rsidRPr="005C397C">
        <w:rPr>
          <w:rFonts w:ascii="Verdana" w:eastAsia="Arial Nova" w:hAnsi="Verdana" w:cs="Arial"/>
          <w:bCs/>
          <w:sz w:val="21"/>
          <w:szCs w:val="21"/>
        </w:rPr>
        <w:t xml:space="preserve">. </w:t>
      </w:r>
    </w:p>
    <w:p w14:paraId="210078A5" w14:textId="736CDB84" w:rsidR="003E171B" w:rsidRPr="005C397C" w:rsidRDefault="003E171B"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1.8. Requerimientos.</w:t>
      </w:r>
      <w:r w:rsidRPr="005C397C">
        <w:rPr>
          <w:rFonts w:ascii="Verdana" w:eastAsia="Arial Nova" w:hAnsi="Verdana" w:cs="Arial"/>
          <w:bCs/>
          <w:sz w:val="21"/>
          <w:szCs w:val="21"/>
        </w:rPr>
        <w:t xml:space="preserve"> Los días catorce, dieciocho, diecinueve y veintiséis de abril </w:t>
      </w:r>
      <w:r w:rsidR="006A7B59" w:rsidRPr="005C397C">
        <w:rPr>
          <w:rFonts w:ascii="Verdana" w:eastAsia="Arial Nova" w:hAnsi="Verdana" w:cs="Arial"/>
          <w:bCs/>
          <w:sz w:val="21"/>
          <w:szCs w:val="21"/>
        </w:rPr>
        <w:t>del año inmediato anterior</w:t>
      </w:r>
      <w:r w:rsidR="002557FC" w:rsidRPr="005C397C">
        <w:rPr>
          <w:rFonts w:ascii="Verdana" w:eastAsia="Arial Nova" w:hAnsi="Verdana" w:cs="Arial"/>
          <w:bCs/>
          <w:sz w:val="21"/>
          <w:szCs w:val="21"/>
        </w:rPr>
        <w:t xml:space="preserve">, </w:t>
      </w:r>
      <w:r w:rsidR="00F125D7" w:rsidRPr="005C397C">
        <w:rPr>
          <w:rFonts w:ascii="Verdana" w:eastAsia="Arial Nova" w:hAnsi="Verdana" w:cs="Arial"/>
          <w:bCs/>
          <w:sz w:val="21"/>
          <w:szCs w:val="21"/>
        </w:rPr>
        <w:t xml:space="preserve">este órgano jurisdiccional requirió </w:t>
      </w:r>
      <w:r w:rsidR="003E5C48" w:rsidRPr="005C397C">
        <w:rPr>
          <w:rFonts w:ascii="Verdana" w:eastAsia="Arial Nova" w:hAnsi="Verdana" w:cs="Arial"/>
          <w:bCs/>
          <w:sz w:val="21"/>
          <w:szCs w:val="21"/>
        </w:rPr>
        <w:t xml:space="preserve">a la </w:t>
      </w:r>
      <w:r w:rsidR="003E5C48" w:rsidRPr="005C397C">
        <w:rPr>
          <w:rFonts w:ascii="Verdana" w:eastAsia="Arial Nova" w:hAnsi="Verdana" w:cs="Arial"/>
          <w:bCs/>
          <w:smallCaps/>
          <w:sz w:val="21"/>
          <w:szCs w:val="21"/>
        </w:rPr>
        <w:t>Persona Denunciada</w:t>
      </w:r>
      <w:r w:rsidR="00F125D7" w:rsidRPr="005C397C">
        <w:rPr>
          <w:rFonts w:ascii="Verdana" w:eastAsia="Arial Nova" w:hAnsi="Verdana" w:cs="Arial"/>
          <w:bCs/>
          <w:sz w:val="21"/>
          <w:szCs w:val="21"/>
        </w:rPr>
        <w:t xml:space="preserve"> y al Instituto Estatal Electoral de Aguascalientes</w:t>
      </w:r>
      <w:r w:rsidR="00671E56" w:rsidRPr="005C397C">
        <w:rPr>
          <w:rFonts w:ascii="Verdana" w:eastAsia="Arial Nova" w:hAnsi="Verdana" w:cs="Arial"/>
          <w:bCs/>
          <w:sz w:val="21"/>
          <w:szCs w:val="21"/>
        </w:rPr>
        <w:t xml:space="preserve"> (</w:t>
      </w:r>
      <w:r w:rsidR="00671E56" w:rsidRPr="005C397C">
        <w:rPr>
          <w:rFonts w:ascii="Verdana" w:eastAsia="Arial Nova" w:hAnsi="Verdana" w:cs="Arial"/>
          <w:bCs/>
          <w:smallCaps/>
          <w:sz w:val="21"/>
          <w:szCs w:val="21"/>
        </w:rPr>
        <w:t>Instituto Electoral</w:t>
      </w:r>
      <w:r w:rsidR="00671E56" w:rsidRPr="005C397C">
        <w:rPr>
          <w:rFonts w:ascii="Verdana" w:eastAsia="Arial Nova" w:hAnsi="Verdana" w:cs="Arial"/>
          <w:bCs/>
          <w:sz w:val="21"/>
          <w:szCs w:val="21"/>
        </w:rPr>
        <w:t>)</w:t>
      </w:r>
      <w:r w:rsidR="00F125D7" w:rsidRPr="005C397C">
        <w:rPr>
          <w:rFonts w:ascii="Verdana" w:eastAsia="Arial Nova" w:hAnsi="Verdana" w:cs="Arial"/>
          <w:bCs/>
          <w:sz w:val="21"/>
          <w:szCs w:val="21"/>
        </w:rPr>
        <w:t xml:space="preserve">, a fin de que informaran el estado procesal que guardaba el cumplimiento de la sentencia de mérito. </w:t>
      </w:r>
    </w:p>
    <w:p w14:paraId="28BD359B" w14:textId="557B7C16" w:rsidR="00F125D7" w:rsidRPr="005C397C" w:rsidRDefault="00F125D7"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1.9. Acuerdo Plenario</w:t>
      </w:r>
      <w:r w:rsidR="00D04E3D" w:rsidRPr="005C397C">
        <w:rPr>
          <w:rFonts w:ascii="Verdana" w:eastAsia="Arial Nova" w:hAnsi="Verdana" w:cs="Arial"/>
          <w:b/>
          <w:sz w:val="21"/>
          <w:szCs w:val="21"/>
        </w:rPr>
        <w:t xml:space="preserve"> de cumplimiento parcial</w:t>
      </w:r>
      <w:r w:rsidRPr="005C397C">
        <w:rPr>
          <w:rFonts w:ascii="Verdana" w:eastAsia="Arial Nova" w:hAnsi="Verdana" w:cs="Arial"/>
          <w:b/>
          <w:sz w:val="21"/>
          <w:szCs w:val="21"/>
        </w:rPr>
        <w:t>.</w:t>
      </w:r>
      <w:r w:rsidRPr="005C397C">
        <w:rPr>
          <w:rFonts w:ascii="Verdana" w:eastAsia="Arial Nova" w:hAnsi="Verdana" w:cs="Arial"/>
          <w:bCs/>
          <w:sz w:val="21"/>
          <w:szCs w:val="21"/>
        </w:rPr>
        <w:t xml:space="preserve"> El veintinueve de abril siguiente, el Pleno de este </w:t>
      </w:r>
      <w:r w:rsidRPr="005C397C">
        <w:rPr>
          <w:rFonts w:ascii="Verdana" w:eastAsia="Arial Nova" w:hAnsi="Verdana" w:cs="Arial"/>
          <w:bCs/>
          <w:smallCaps/>
          <w:sz w:val="21"/>
          <w:szCs w:val="21"/>
        </w:rPr>
        <w:t>Tribunal Electoral</w:t>
      </w:r>
      <w:r w:rsidRPr="005C397C">
        <w:rPr>
          <w:rFonts w:ascii="Verdana" w:eastAsia="Arial Nova" w:hAnsi="Verdana" w:cs="Arial"/>
          <w:bCs/>
          <w:sz w:val="21"/>
          <w:szCs w:val="21"/>
        </w:rPr>
        <w:t xml:space="preserve">, mediante acuerdo plenario, declaró por cumpliendo parcialmente con la sentencia de mérito, por consecuencia, le ordenó emitir una nueva disculpa pública en los términos expuestos en dicho acuerdo, a fin de cumplir cabalmente la sentencia recaída dentro del expediente citado al rubro. </w:t>
      </w:r>
    </w:p>
    <w:p w14:paraId="4C191469" w14:textId="15B7A436" w:rsidR="00F125D7" w:rsidRPr="005C397C" w:rsidRDefault="004B23D8"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1.10. </w:t>
      </w:r>
      <w:bookmarkStart w:id="3" w:name="_Hlk129770309"/>
      <w:r w:rsidRPr="005C397C">
        <w:rPr>
          <w:rFonts w:ascii="Verdana" w:eastAsia="Arial Nova" w:hAnsi="Verdana" w:cs="Arial"/>
          <w:b/>
          <w:sz w:val="21"/>
          <w:szCs w:val="21"/>
        </w:rPr>
        <w:t xml:space="preserve">Acuerdo Plenario de Cumplimiento. </w:t>
      </w:r>
      <w:r w:rsidR="006B3E89" w:rsidRPr="005C397C">
        <w:rPr>
          <w:rFonts w:ascii="Verdana" w:eastAsia="Arial Nova" w:hAnsi="Verdana" w:cs="Arial"/>
          <w:bCs/>
          <w:sz w:val="21"/>
          <w:szCs w:val="21"/>
        </w:rPr>
        <w:t xml:space="preserve">El veintisiete de mayo de dos mil veintidós, se declaró el cumplimiento de la sentencia dictada en fecha treinta de marzo del mismo año, por el Pleno de este </w:t>
      </w:r>
      <w:r w:rsidR="006B3E89" w:rsidRPr="005C397C">
        <w:rPr>
          <w:rFonts w:ascii="Verdana" w:eastAsia="Arial Nova" w:hAnsi="Verdana" w:cs="Arial"/>
          <w:bCs/>
          <w:smallCaps/>
          <w:sz w:val="21"/>
          <w:szCs w:val="21"/>
        </w:rPr>
        <w:t>Tribunal Electoral</w:t>
      </w:r>
      <w:r w:rsidR="006B3E89" w:rsidRPr="005C397C">
        <w:rPr>
          <w:rFonts w:ascii="Verdana" w:eastAsia="Arial Nova" w:hAnsi="Verdana" w:cs="Arial"/>
          <w:bCs/>
          <w:sz w:val="21"/>
          <w:szCs w:val="21"/>
        </w:rPr>
        <w:t xml:space="preserve">. </w:t>
      </w:r>
    </w:p>
    <w:p w14:paraId="1C2B3231" w14:textId="0F2A0FC1" w:rsidR="006B3E89" w:rsidRPr="005C397C" w:rsidRDefault="006B3E89"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lastRenderedPageBreak/>
        <w:t xml:space="preserve">1.11. Acuerdo causa estado y se ordena archivo. </w:t>
      </w:r>
      <w:r w:rsidRPr="005C397C">
        <w:rPr>
          <w:rFonts w:ascii="Verdana" w:eastAsia="Arial Nova" w:hAnsi="Verdana" w:cs="Arial"/>
          <w:bCs/>
          <w:sz w:val="21"/>
          <w:szCs w:val="21"/>
        </w:rPr>
        <w:t>El seis de junio siguiente, al no existir actuación pendiente por realizar dentro del Procedimiento Especial Sancionador al rubro</w:t>
      </w:r>
      <w:r w:rsidR="005670B2" w:rsidRPr="005C397C">
        <w:rPr>
          <w:rFonts w:ascii="Verdana" w:eastAsia="Arial Nova" w:hAnsi="Verdana" w:cs="Arial"/>
          <w:bCs/>
          <w:sz w:val="21"/>
          <w:szCs w:val="21"/>
        </w:rPr>
        <w:t xml:space="preserve"> indicado</w:t>
      </w:r>
      <w:r w:rsidRPr="005C397C">
        <w:rPr>
          <w:rFonts w:ascii="Verdana" w:eastAsia="Arial Nova" w:hAnsi="Verdana" w:cs="Arial"/>
          <w:bCs/>
          <w:sz w:val="21"/>
          <w:szCs w:val="21"/>
        </w:rPr>
        <w:t xml:space="preserve">, se ordenó su archivo como asunto total y definitivamente concluido. </w:t>
      </w:r>
    </w:p>
    <w:bookmarkEnd w:id="3"/>
    <w:p w14:paraId="32EF3EB5" w14:textId="25A58EDA" w:rsidR="005670B2" w:rsidRPr="005C397C" w:rsidRDefault="005670B2" w:rsidP="00B273B7">
      <w:pPr>
        <w:pBdr>
          <w:top w:val="nil"/>
          <w:left w:val="nil"/>
          <w:bottom w:val="nil"/>
          <w:right w:val="nil"/>
          <w:between w:val="nil"/>
        </w:pBdr>
        <w:tabs>
          <w:tab w:val="left" w:pos="567"/>
        </w:tabs>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1.12. </w:t>
      </w:r>
      <w:r w:rsidR="00CC2851" w:rsidRPr="005C397C">
        <w:rPr>
          <w:rFonts w:ascii="Verdana" w:eastAsia="Arial Nova" w:hAnsi="Verdana" w:cs="Arial"/>
          <w:b/>
          <w:sz w:val="21"/>
          <w:szCs w:val="21"/>
        </w:rPr>
        <w:t xml:space="preserve">Escrito </w:t>
      </w:r>
      <w:r w:rsidR="004C6146" w:rsidRPr="005C397C">
        <w:rPr>
          <w:rFonts w:ascii="Verdana" w:eastAsia="Arial Nova" w:hAnsi="Verdana" w:cs="Arial"/>
          <w:b/>
          <w:sz w:val="21"/>
          <w:szCs w:val="21"/>
        </w:rPr>
        <w:t>de incumplimiento de sentencia</w:t>
      </w:r>
      <w:r w:rsidRPr="005C397C">
        <w:rPr>
          <w:rFonts w:ascii="Verdana" w:eastAsia="Arial Nova" w:hAnsi="Verdana" w:cs="Arial"/>
          <w:b/>
          <w:sz w:val="21"/>
          <w:szCs w:val="21"/>
        </w:rPr>
        <w:t>.</w:t>
      </w:r>
      <w:r w:rsidRPr="005C397C">
        <w:rPr>
          <w:rFonts w:ascii="Verdana" w:eastAsia="Arial Nova" w:hAnsi="Verdana" w:cs="Arial"/>
          <w:bCs/>
          <w:sz w:val="21"/>
          <w:szCs w:val="21"/>
        </w:rPr>
        <w:t xml:space="preserve"> El ocho de marzo, la</w:t>
      </w:r>
      <w:r w:rsidR="003D49E3" w:rsidRPr="005C397C">
        <w:rPr>
          <w:rFonts w:ascii="Verdana" w:eastAsia="Arial Nova" w:hAnsi="Verdana" w:cs="Arial"/>
          <w:bCs/>
          <w:sz w:val="21"/>
          <w:szCs w:val="21"/>
        </w:rPr>
        <w:t xml:space="preserve"> </w:t>
      </w:r>
      <w:r w:rsidR="003D49E3" w:rsidRPr="005C397C">
        <w:rPr>
          <w:rFonts w:ascii="Verdana" w:eastAsia="Arial Nova" w:hAnsi="Verdana" w:cs="Arial"/>
          <w:bCs/>
          <w:smallCaps/>
          <w:sz w:val="21"/>
          <w:szCs w:val="21"/>
        </w:rPr>
        <w:t>Persona Denunciante</w:t>
      </w:r>
      <w:r w:rsidRPr="005C397C">
        <w:rPr>
          <w:rFonts w:ascii="Verdana" w:eastAsia="Arial Nova" w:hAnsi="Verdana" w:cs="Arial"/>
          <w:bCs/>
          <w:color w:val="FFFFFF" w:themeColor="background1"/>
          <w:sz w:val="21"/>
          <w:szCs w:val="21"/>
        </w:rPr>
        <w:t xml:space="preserve"> </w:t>
      </w:r>
      <w:r w:rsidRPr="005C397C">
        <w:rPr>
          <w:rFonts w:ascii="Verdana" w:eastAsia="Arial Nova" w:hAnsi="Verdana" w:cs="Arial"/>
          <w:bCs/>
          <w:sz w:val="21"/>
          <w:szCs w:val="21"/>
        </w:rPr>
        <w:t>presentó ante la Oficialía de Partes</w:t>
      </w:r>
      <w:r w:rsidR="00CC2851" w:rsidRPr="005C397C">
        <w:rPr>
          <w:rFonts w:ascii="Verdana" w:eastAsia="Arial Nova" w:hAnsi="Verdana" w:cs="Arial"/>
          <w:bCs/>
          <w:sz w:val="21"/>
          <w:szCs w:val="21"/>
        </w:rPr>
        <w:t xml:space="preserve"> de este </w:t>
      </w:r>
      <w:r w:rsidR="00CC2851" w:rsidRPr="005C397C">
        <w:rPr>
          <w:rFonts w:ascii="Verdana" w:eastAsia="Arial Nova" w:hAnsi="Verdana" w:cs="Arial"/>
          <w:bCs/>
          <w:smallCaps/>
          <w:sz w:val="21"/>
          <w:szCs w:val="21"/>
        </w:rPr>
        <w:t xml:space="preserve">Tribunal </w:t>
      </w:r>
      <w:r w:rsidR="00C469FB" w:rsidRPr="005C397C">
        <w:rPr>
          <w:rFonts w:ascii="Verdana" w:eastAsia="Arial Nova" w:hAnsi="Verdana" w:cs="Arial"/>
          <w:bCs/>
          <w:smallCaps/>
          <w:sz w:val="21"/>
          <w:szCs w:val="21"/>
        </w:rPr>
        <w:t>Electoral</w:t>
      </w:r>
      <w:r w:rsidR="00CC2851" w:rsidRPr="005C397C">
        <w:rPr>
          <w:rFonts w:ascii="Verdana" w:eastAsia="Arial Nova" w:hAnsi="Verdana" w:cs="Arial"/>
          <w:bCs/>
          <w:sz w:val="21"/>
          <w:szCs w:val="21"/>
        </w:rPr>
        <w:t xml:space="preserve">, un escrito donde solicita se determine el incumplimiento de sentencia </w:t>
      </w:r>
      <w:r w:rsidR="004C6146" w:rsidRPr="005C397C">
        <w:rPr>
          <w:rFonts w:ascii="Verdana" w:eastAsia="Arial Nova" w:hAnsi="Verdana" w:cs="Arial"/>
          <w:bCs/>
          <w:sz w:val="21"/>
          <w:szCs w:val="21"/>
        </w:rPr>
        <w:t>por parte de</w:t>
      </w:r>
      <w:r w:rsidR="00FA73D4" w:rsidRPr="005C397C">
        <w:rPr>
          <w:rFonts w:ascii="Verdana" w:eastAsia="Arial Nova" w:hAnsi="Verdana" w:cs="Arial"/>
          <w:bCs/>
          <w:sz w:val="21"/>
          <w:szCs w:val="21"/>
        </w:rPr>
        <w:t xml:space="preserve"> la</w:t>
      </w:r>
      <w:r w:rsidR="004C6146" w:rsidRPr="005C397C">
        <w:rPr>
          <w:rFonts w:ascii="Verdana" w:eastAsia="Arial Nova" w:hAnsi="Verdana" w:cs="Arial"/>
          <w:bCs/>
          <w:sz w:val="21"/>
          <w:szCs w:val="21"/>
        </w:rPr>
        <w:t xml:space="preserve"> </w:t>
      </w:r>
      <w:r w:rsidR="00A617D8" w:rsidRPr="005C397C">
        <w:rPr>
          <w:rFonts w:ascii="Verdana" w:eastAsia="Arial Nova" w:hAnsi="Verdana" w:cs="Arial"/>
          <w:bCs/>
          <w:smallCaps/>
          <w:sz w:val="21"/>
          <w:szCs w:val="21"/>
        </w:rPr>
        <w:t>Persona Denunciada</w:t>
      </w:r>
      <w:r w:rsidR="004C6146" w:rsidRPr="005C397C">
        <w:rPr>
          <w:rFonts w:ascii="Verdana" w:eastAsia="Arial Nova" w:hAnsi="Verdana" w:cs="Arial"/>
          <w:bCs/>
          <w:sz w:val="21"/>
          <w:szCs w:val="21"/>
        </w:rPr>
        <w:t xml:space="preserve">. </w:t>
      </w:r>
    </w:p>
    <w:p w14:paraId="5CF601C6" w14:textId="35EFA5B9" w:rsidR="003F6846" w:rsidRPr="005C397C" w:rsidRDefault="007E1A62" w:rsidP="00B273B7">
      <w:pPr>
        <w:spacing w:before="100" w:beforeAutospacing="1" w:after="100" w:afterAutospacing="1" w:line="360" w:lineRule="auto"/>
        <w:jc w:val="both"/>
        <w:rPr>
          <w:rFonts w:ascii="Verdana" w:eastAsia="Arial Nova" w:hAnsi="Verdana" w:cs="Arial"/>
          <w:b/>
          <w:sz w:val="21"/>
          <w:szCs w:val="21"/>
        </w:rPr>
      </w:pPr>
      <w:r w:rsidRPr="005C397C">
        <w:rPr>
          <w:rFonts w:ascii="Verdana" w:eastAsia="Arial Nova" w:hAnsi="Verdana" w:cs="Arial"/>
          <w:b/>
          <w:sz w:val="21"/>
          <w:szCs w:val="21"/>
        </w:rPr>
        <w:t>2</w:t>
      </w:r>
      <w:r w:rsidR="003F6846" w:rsidRPr="005C397C">
        <w:rPr>
          <w:rFonts w:ascii="Verdana" w:eastAsia="Arial Nova" w:hAnsi="Verdana" w:cs="Arial"/>
          <w:b/>
          <w:sz w:val="21"/>
          <w:szCs w:val="21"/>
        </w:rPr>
        <w:t>. ACTUACIÓN COLEGIADA.</w:t>
      </w:r>
    </w:p>
    <w:p w14:paraId="3FDDAD45" w14:textId="145E574A" w:rsidR="003F6846" w:rsidRPr="005C397C" w:rsidRDefault="009731CB"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hAnsi="Verdana"/>
          <w:color w:val="000000"/>
          <w:sz w:val="21"/>
          <w:szCs w:val="21"/>
        </w:rPr>
        <w:t>La presente actuación corresponde al Pleno, en razón de que</w:t>
      </w:r>
      <w:r w:rsidR="006A7B59" w:rsidRPr="005C397C">
        <w:rPr>
          <w:rFonts w:ascii="Verdana" w:eastAsia="Arial Nova" w:hAnsi="Verdana" w:cs="Arial"/>
          <w:bCs/>
          <w:sz w:val="21"/>
          <w:szCs w:val="21"/>
        </w:rPr>
        <w:t xml:space="preserve">, la facultad para emitir todos los acuerdos y </w:t>
      </w:r>
      <w:r w:rsidR="007F53AB" w:rsidRPr="005C397C">
        <w:rPr>
          <w:rFonts w:ascii="Verdana" w:eastAsia="Arial Nova" w:hAnsi="Verdana" w:cs="Arial"/>
          <w:bCs/>
          <w:sz w:val="21"/>
          <w:szCs w:val="21"/>
        </w:rPr>
        <w:t>resoluciones,</w:t>
      </w:r>
      <w:r w:rsidR="006A7B59" w:rsidRPr="005C397C">
        <w:rPr>
          <w:rFonts w:ascii="Verdana" w:eastAsia="Arial Nova" w:hAnsi="Verdana" w:cs="Arial"/>
          <w:bCs/>
          <w:sz w:val="21"/>
          <w:szCs w:val="21"/>
        </w:rPr>
        <w:t xml:space="preserve"> así como practicar las diligencias necesarias de la instrucción y decisión de los asuntos, quien legisla concedió a las Magistraturas Electorales, en lo individual, la atribución de llevar a cabo todas las actuaciones necesarias, sin </w:t>
      </w:r>
      <w:r w:rsidR="007F53AB" w:rsidRPr="005C397C">
        <w:rPr>
          <w:rFonts w:ascii="Verdana" w:eastAsia="Arial Nova" w:hAnsi="Verdana" w:cs="Arial"/>
          <w:bCs/>
          <w:sz w:val="21"/>
          <w:szCs w:val="21"/>
        </w:rPr>
        <w:t>embargo,</w:t>
      </w:r>
      <w:r w:rsidR="006A7B59" w:rsidRPr="005C397C">
        <w:rPr>
          <w:rFonts w:ascii="Verdana" w:eastAsia="Arial Nova" w:hAnsi="Verdana" w:cs="Arial"/>
          <w:bCs/>
          <w:sz w:val="21"/>
          <w:szCs w:val="21"/>
        </w:rPr>
        <w:t xml:space="preserve"> señaló que cuando se presenten cuestiones distintas a las ordinarias será necesario que se resuelvan de manera colegiada</w:t>
      </w:r>
      <w:r w:rsidRPr="005C397C">
        <w:rPr>
          <w:rFonts w:ascii="Verdana" w:hAnsi="Verdana"/>
          <w:color w:val="000000"/>
          <w:sz w:val="21"/>
          <w:szCs w:val="21"/>
        </w:rPr>
        <w:t>.</w:t>
      </w:r>
      <w:r w:rsidRPr="005C397C">
        <w:rPr>
          <w:rStyle w:val="Refdenotaalpie"/>
          <w:rFonts w:ascii="Verdana" w:hAnsi="Verdana"/>
          <w:color w:val="000000"/>
          <w:sz w:val="21"/>
          <w:szCs w:val="21"/>
        </w:rPr>
        <w:footnoteReference w:id="2"/>
      </w:r>
    </w:p>
    <w:p w14:paraId="51893923" w14:textId="77777777" w:rsidR="006A2997" w:rsidRPr="005C397C" w:rsidRDefault="006A2997" w:rsidP="00B273B7">
      <w:pPr>
        <w:spacing w:before="100" w:beforeAutospacing="1" w:after="100" w:afterAutospacing="1" w:line="360" w:lineRule="auto"/>
        <w:jc w:val="both"/>
        <w:rPr>
          <w:rFonts w:ascii="Verdana" w:hAnsi="Verdana" w:cs="Arial"/>
          <w:b/>
          <w:bCs/>
          <w:sz w:val="21"/>
          <w:szCs w:val="21"/>
        </w:rPr>
      </w:pPr>
      <w:r w:rsidRPr="005C397C">
        <w:rPr>
          <w:rFonts w:ascii="Verdana" w:hAnsi="Verdana" w:cs="Arial"/>
          <w:b/>
          <w:bCs/>
          <w:sz w:val="21"/>
          <w:szCs w:val="21"/>
        </w:rPr>
        <w:t>2. COMPETENCIA.</w:t>
      </w:r>
    </w:p>
    <w:p w14:paraId="7EA10984" w14:textId="4FEA703B" w:rsidR="006A2997" w:rsidRPr="005C397C" w:rsidRDefault="006A2997" w:rsidP="00B273B7">
      <w:pPr>
        <w:spacing w:before="100" w:beforeAutospacing="1" w:after="100" w:afterAutospacing="1" w:line="360" w:lineRule="auto"/>
        <w:jc w:val="both"/>
        <w:rPr>
          <w:rFonts w:ascii="Verdana" w:hAnsi="Verdana" w:cs="Arial"/>
          <w:sz w:val="21"/>
          <w:szCs w:val="21"/>
        </w:rPr>
      </w:pPr>
      <w:r w:rsidRPr="005C397C">
        <w:rPr>
          <w:rFonts w:ascii="Verdana" w:hAnsi="Verdana" w:cs="Arial"/>
          <w:sz w:val="21"/>
          <w:szCs w:val="21"/>
        </w:rPr>
        <w:t xml:space="preserve">El </w:t>
      </w:r>
      <w:r w:rsidRPr="005C397C">
        <w:rPr>
          <w:rFonts w:ascii="Verdana" w:hAnsi="Verdana" w:cs="Arial"/>
          <w:smallCaps/>
          <w:sz w:val="21"/>
          <w:szCs w:val="21"/>
        </w:rPr>
        <w:t xml:space="preserve">Tribunal </w:t>
      </w:r>
      <w:r w:rsidR="003D49E3" w:rsidRPr="005C397C">
        <w:rPr>
          <w:rFonts w:ascii="Verdana" w:hAnsi="Verdana" w:cs="Arial"/>
          <w:smallCaps/>
          <w:sz w:val="21"/>
          <w:szCs w:val="21"/>
        </w:rPr>
        <w:t>Electoral</w:t>
      </w:r>
      <w:r w:rsidR="003D49E3" w:rsidRPr="005C397C">
        <w:rPr>
          <w:rFonts w:ascii="Verdana" w:hAnsi="Verdana" w:cs="Arial"/>
          <w:sz w:val="21"/>
          <w:szCs w:val="21"/>
        </w:rPr>
        <w:t xml:space="preserve"> </w:t>
      </w:r>
      <w:r w:rsidRPr="005C397C">
        <w:rPr>
          <w:rFonts w:ascii="Verdana" w:hAnsi="Verdana" w:cs="Arial"/>
          <w:sz w:val="21"/>
          <w:szCs w:val="21"/>
        </w:rPr>
        <w:t xml:space="preserve">es competente para conocer y resolver el presente Incidente de Inejecución de Sentencia, ya que se interpuso con la finalidad de exigir el cumplimiento de una sentencia dictada por este órgano jurisdiccional. De ahí que para garantizar el pleno cumplimiento de la sentencia principal y en atención al derecho a la tutela judicial efectiva consagrado en el artículo 17 de la </w:t>
      </w:r>
      <w:r w:rsidR="00FA73D4" w:rsidRPr="005C397C">
        <w:rPr>
          <w:rFonts w:ascii="Verdana" w:hAnsi="Verdana" w:cs="Arial"/>
          <w:sz w:val="21"/>
          <w:szCs w:val="21"/>
        </w:rPr>
        <w:t>Constitución Política de los Estados Unidos Mexicanos (</w:t>
      </w:r>
      <w:r w:rsidR="00FA73D4" w:rsidRPr="005C397C">
        <w:rPr>
          <w:rFonts w:ascii="Verdana" w:hAnsi="Verdana" w:cs="Arial"/>
          <w:smallCaps/>
          <w:sz w:val="21"/>
          <w:szCs w:val="21"/>
        </w:rPr>
        <w:t>Constitución Federal</w:t>
      </w:r>
      <w:r w:rsidR="00FA73D4" w:rsidRPr="005C397C">
        <w:rPr>
          <w:rFonts w:ascii="Verdana" w:hAnsi="Verdana" w:cs="Arial"/>
          <w:sz w:val="21"/>
          <w:szCs w:val="21"/>
        </w:rPr>
        <w:t>)</w:t>
      </w:r>
      <w:r w:rsidRPr="005C397C">
        <w:rPr>
          <w:rFonts w:ascii="Verdana" w:hAnsi="Verdana" w:cs="Arial"/>
          <w:sz w:val="21"/>
          <w:szCs w:val="21"/>
        </w:rPr>
        <w:t>, debe entenderse que las facultades de este órgano son extensivas a cuestiones incidentales relacionadas con el cumplimiento de sus sentencias.</w:t>
      </w:r>
    </w:p>
    <w:p w14:paraId="5B9DDF3E" w14:textId="0AA7C2D0" w:rsidR="006A2997" w:rsidRPr="005C397C" w:rsidRDefault="006A2997" w:rsidP="00B273B7">
      <w:pPr>
        <w:spacing w:before="100" w:beforeAutospacing="1" w:after="100" w:afterAutospacing="1" w:line="360" w:lineRule="auto"/>
        <w:jc w:val="both"/>
        <w:rPr>
          <w:rFonts w:ascii="Verdana" w:hAnsi="Verdana" w:cs="Arial"/>
          <w:sz w:val="21"/>
          <w:szCs w:val="21"/>
        </w:rPr>
      </w:pPr>
      <w:r w:rsidRPr="005C397C">
        <w:rPr>
          <w:rFonts w:ascii="Verdana" w:hAnsi="Verdana" w:cs="Arial"/>
          <w:sz w:val="21"/>
          <w:szCs w:val="21"/>
        </w:rPr>
        <w:t xml:space="preserve">Lo anterior, conforme a lo dispuesto </w:t>
      </w:r>
      <w:r w:rsidR="003D49E3" w:rsidRPr="005C397C">
        <w:rPr>
          <w:rFonts w:ascii="Verdana" w:hAnsi="Verdana" w:cs="Arial"/>
          <w:sz w:val="21"/>
          <w:szCs w:val="21"/>
        </w:rPr>
        <w:t>en</w:t>
      </w:r>
      <w:r w:rsidRPr="005C397C">
        <w:rPr>
          <w:rFonts w:ascii="Verdana" w:hAnsi="Verdana" w:cs="Arial"/>
          <w:sz w:val="21"/>
          <w:szCs w:val="21"/>
        </w:rPr>
        <w:t xml:space="preserve"> el artículo 17 de la </w:t>
      </w:r>
      <w:r w:rsidR="00FA73D4" w:rsidRPr="005C397C">
        <w:rPr>
          <w:rFonts w:ascii="Verdana" w:hAnsi="Verdana" w:cs="Arial"/>
          <w:smallCaps/>
          <w:sz w:val="21"/>
          <w:szCs w:val="21"/>
        </w:rPr>
        <w:t>Constitución Federal</w:t>
      </w:r>
      <w:r w:rsidRPr="005C397C">
        <w:rPr>
          <w:rFonts w:ascii="Verdana" w:hAnsi="Verdana" w:cs="Arial"/>
          <w:sz w:val="21"/>
          <w:szCs w:val="21"/>
        </w:rPr>
        <w:t>; artículo 17 apartado B, párrafos décimo sexto y décimo séptimo de la Constitución Política del Estado de Aguascalientes</w:t>
      </w:r>
      <w:r w:rsidR="00FA73D4" w:rsidRPr="005C397C">
        <w:rPr>
          <w:rFonts w:ascii="Verdana" w:hAnsi="Verdana" w:cs="Arial"/>
          <w:sz w:val="21"/>
          <w:szCs w:val="21"/>
        </w:rPr>
        <w:t xml:space="preserve"> (</w:t>
      </w:r>
      <w:r w:rsidR="00FA73D4" w:rsidRPr="005C397C">
        <w:rPr>
          <w:rFonts w:ascii="Verdana" w:hAnsi="Verdana" w:cs="Arial"/>
          <w:smallCaps/>
          <w:sz w:val="21"/>
          <w:szCs w:val="21"/>
        </w:rPr>
        <w:t>Constitución Local</w:t>
      </w:r>
      <w:r w:rsidR="00FA73D4" w:rsidRPr="005C397C">
        <w:rPr>
          <w:rFonts w:ascii="Verdana" w:hAnsi="Verdana" w:cs="Arial"/>
          <w:sz w:val="21"/>
          <w:szCs w:val="21"/>
        </w:rPr>
        <w:t>)</w:t>
      </w:r>
      <w:r w:rsidRPr="005C397C">
        <w:rPr>
          <w:rFonts w:ascii="Verdana" w:hAnsi="Verdana" w:cs="Arial"/>
          <w:sz w:val="21"/>
          <w:szCs w:val="21"/>
        </w:rPr>
        <w:t xml:space="preserve">; artículo 133 del Reglamento Interior del </w:t>
      </w:r>
      <w:r w:rsidRPr="005C397C">
        <w:rPr>
          <w:rFonts w:ascii="Verdana" w:hAnsi="Verdana" w:cs="Arial"/>
          <w:smallCaps/>
          <w:sz w:val="21"/>
          <w:szCs w:val="21"/>
        </w:rPr>
        <w:t>Tribunal Electoral</w:t>
      </w:r>
      <w:r w:rsidRPr="005C397C">
        <w:rPr>
          <w:rFonts w:ascii="Verdana" w:hAnsi="Verdana" w:cs="Arial"/>
          <w:sz w:val="21"/>
          <w:szCs w:val="21"/>
        </w:rPr>
        <w:t>; así como el artículo 314 del Código Electoral del Estado de Aguascalientes</w:t>
      </w:r>
      <w:r w:rsidR="00FA73D4" w:rsidRPr="005C397C">
        <w:rPr>
          <w:rFonts w:ascii="Verdana" w:hAnsi="Verdana" w:cs="Arial"/>
          <w:sz w:val="21"/>
          <w:szCs w:val="21"/>
        </w:rPr>
        <w:t xml:space="preserve"> (</w:t>
      </w:r>
      <w:r w:rsidR="00FA73D4" w:rsidRPr="005C397C">
        <w:rPr>
          <w:rFonts w:ascii="Verdana" w:hAnsi="Verdana" w:cs="Arial"/>
          <w:smallCaps/>
          <w:sz w:val="21"/>
          <w:szCs w:val="21"/>
        </w:rPr>
        <w:t>Código Electoral</w:t>
      </w:r>
      <w:r w:rsidR="00FA73D4" w:rsidRPr="005C397C">
        <w:rPr>
          <w:rFonts w:ascii="Verdana" w:hAnsi="Verdana" w:cs="Arial"/>
          <w:sz w:val="21"/>
          <w:szCs w:val="21"/>
        </w:rPr>
        <w:t>)</w:t>
      </w:r>
      <w:r w:rsidRPr="005C397C">
        <w:rPr>
          <w:rFonts w:ascii="Verdana" w:hAnsi="Verdana" w:cs="Arial"/>
          <w:sz w:val="21"/>
          <w:szCs w:val="21"/>
        </w:rPr>
        <w:t xml:space="preserve">, por tratarse del cumplimiento de una sentencia dictada por este órgano jurisdiccional, en un </w:t>
      </w:r>
      <w:r w:rsidR="00C469FB" w:rsidRPr="005C397C">
        <w:rPr>
          <w:rFonts w:ascii="Verdana" w:hAnsi="Verdana" w:cs="Arial"/>
          <w:sz w:val="21"/>
          <w:szCs w:val="21"/>
        </w:rPr>
        <w:t xml:space="preserve">Procedimiento Especial Sancionador. </w:t>
      </w:r>
    </w:p>
    <w:p w14:paraId="1D33F400" w14:textId="77777777" w:rsidR="006A2997" w:rsidRPr="005C397C" w:rsidRDefault="006A2997" w:rsidP="00B273B7">
      <w:pPr>
        <w:spacing w:before="100" w:beforeAutospacing="1" w:after="100" w:afterAutospacing="1" w:line="360" w:lineRule="auto"/>
        <w:jc w:val="both"/>
        <w:rPr>
          <w:rFonts w:ascii="Verdana" w:hAnsi="Verdana" w:cs="Arial"/>
          <w:sz w:val="21"/>
          <w:szCs w:val="21"/>
        </w:rPr>
      </w:pPr>
      <w:r w:rsidRPr="005C397C">
        <w:rPr>
          <w:rFonts w:ascii="Verdana" w:hAnsi="Verdana" w:cs="Arial"/>
          <w:sz w:val="21"/>
          <w:szCs w:val="21"/>
        </w:rPr>
        <w:t xml:space="preserve">Además, sirve de apoyo a lo anterior, la Jurisprudencia identificable con el número 24/2001, sustentada por </w:t>
      </w:r>
      <w:r w:rsidRPr="005C397C">
        <w:rPr>
          <w:rFonts w:ascii="Verdana" w:hAnsi="Verdana" w:cs="Arial"/>
          <w:smallCaps/>
          <w:sz w:val="21"/>
          <w:szCs w:val="21"/>
        </w:rPr>
        <w:t>Sala Superior</w:t>
      </w:r>
      <w:r w:rsidRPr="005C397C">
        <w:rPr>
          <w:rFonts w:ascii="Verdana" w:hAnsi="Verdana" w:cs="Arial"/>
          <w:sz w:val="21"/>
          <w:szCs w:val="21"/>
        </w:rPr>
        <w:t xml:space="preserve">, de rubro: </w:t>
      </w:r>
      <w:r w:rsidRPr="005C397C">
        <w:rPr>
          <w:rFonts w:ascii="Verdana" w:hAnsi="Verdana" w:cs="Arial"/>
          <w:b/>
          <w:bCs/>
          <w:i/>
          <w:iCs/>
          <w:sz w:val="21"/>
          <w:szCs w:val="21"/>
        </w:rPr>
        <w:t xml:space="preserve">TRIBUNAL ELECTORAL DEL PODER JUDICIAL DE LA FEDERACIÓN. ESTÁ FACULTADO </w:t>
      </w:r>
      <w:r w:rsidRPr="005C397C">
        <w:rPr>
          <w:rFonts w:ascii="Verdana" w:hAnsi="Verdana" w:cs="Arial"/>
          <w:b/>
          <w:bCs/>
          <w:i/>
          <w:iCs/>
          <w:sz w:val="21"/>
          <w:szCs w:val="21"/>
        </w:rPr>
        <w:lastRenderedPageBreak/>
        <w:t>CONSTITUCIONALMENTE PARA EXIGIR EL CUMPLIMIENTO DE TODAS SUS RESOLUCIONES</w:t>
      </w:r>
      <w:r w:rsidRPr="005C397C">
        <w:rPr>
          <w:rStyle w:val="Refdenotaalpie"/>
          <w:rFonts w:ascii="Verdana" w:hAnsi="Verdana" w:cs="Arial"/>
          <w:sz w:val="21"/>
          <w:szCs w:val="21"/>
        </w:rPr>
        <w:footnoteReference w:id="3"/>
      </w:r>
      <w:r w:rsidRPr="005C397C">
        <w:rPr>
          <w:rFonts w:ascii="Verdana" w:hAnsi="Verdana" w:cs="Arial"/>
          <w:sz w:val="21"/>
          <w:szCs w:val="21"/>
        </w:rPr>
        <w:t>.</w:t>
      </w:r>
    </w:p>
    <w:p w14:paraId="6975D4F6" w14:textId="367AF828" w:rsidR="004C62CA" w:rsidRPr="005C397C" w:rsidRDefault="004C62CA" w:rsidP="00B273B7">
      <w:pPr>
        <w:spacing w:before="100" w:beforeAutospacing="1" w:after="100" w:afterAutospacing="1" w:line="360" w:lineRule="auto"/>
        <w:jc w:val="both"/>
        <w:rPr>
          <w:rFonts w:ascii="Verdana" w:hAnsi="Verdana" w:cs="Arial"/>
          <w:b/>
          <w:bCs/>
          <w:sz w:val="21"/>
          <w:szCs w:val="21"/>
        </w:rPr>
      </w:pPr>
      <w:r w:rsidRPr="005C397C">
        <w:rPr>
          <w:rFonts w:ascii="Verdana" w:hAnsi="Verdana" w:cs="Arial"/>
          <w:b/>
          <w:bCs/>
          <w:sz w:val="21"/>
          <w:szCs w:val="21"/>
        </w:rPr>
        <w:t>3. CUESTIÓN PREVIA.</w:t>
      </w:r>
    </w:p>
    <w:p w14:paraId="7C084CB2" w14:textId="4CCBACD6" w:rsidR="004C62CA" w:rsidRPr="005C397C" w:rsidRDefault="00E46E64" w:rsidP="00B273B7">
      <w:pPr>
        <w:pStyle w:val="NormalWeb"/>
        <w:shd w:val="clear" w:color="auto" w:fill="FFFFFF"/>
        <w:spacing w:line="360" w:lineRule="auto"/>
        <w:jc w:val="both"/>
        <w:rPr>
          <w:rFonts w:ascii="Verdana" w:hAnsi="Verdana" w:cs="Arial"/>
          <w:sz w:val="21"/>
          <w:szCs w:val="21"/>
          <w:lang w:val="es-419"/>
        </w:rPr>
      </w:pPr>
      <w:r w:rsidRPr="005C397C">
        <w:rPr>
          <w:rFonts w:ascii="Verdana" w:hAnsi="Verdana" w:cs="Arial"/>
          <w:sz w:val="21"/>
          <w:szCs w:val="21"/>
          <w:lang w:val="es-MX"/>
        </w:rPr>
        <w:t>E</w:t>
      </w:r>
      <w:r w:rsidR="004C62CA" w:rsidRPr="005C397C">
        <w:rPr>
          <w:rFonts w:ascii="Verdana" w:hAnsi="Verdana" w:cs="Arial"/>
          <w:sz w:val="21"/>
          <w:szCs w:val="21"/>
          <w:lang w:val="es-419"/>
        </w:rPr>
        <w:t xml:space="preserve">l procedimiento especial sancionador surgió del ejercicio jurisdiccional, interpretativo, sistemático y funcional efectuado por la </w:t>
      </w:r>
      <w:r w:rsidR="004C62CA" w:rsidRPr="005C397C">
        <w:rPr>
          <w:rFonts w:ascii="Verdana" w:hAnsi="Verdana" w:cs="Arial"/>
          <w:smallCaps/>
          <w:sz w:val="21"/>
          <w:szCs w:val="21"/>
          <w:lang w:val="es-419"/>
        </w:rPr>
        <w:t>Sala Superior</w:t>
      </w:r>
      <w:r w:rsidR="004C62CA" w:rsidRPr="005C397C">
        <w:rPr>
          <w:rFonts w:ascii="Verdana" w:hAnsi="Verdana" w:cs="Arial"/>
          <w:sz w:val="21"/>
          <w:szCs w:val="21"/>
          <w:lang w:val="es-419"/>
        </w:rPr>
        <w:t xml:space="preserve"> al considerar como principio rector, el contenido de la fracción IV del artículo 116 de la </w:t>
      </w:r>
      <w:r w:rsidR="004C62CA" w:rsidRPr="005C397C">
        <w:rPr>
          <w:rFonts w:ascii="Verdana" w:hAnsi="Verdana" w:cs="Arial"/>
          <w:smallCaps/>
          <w:sz w:val="21"/>
          <w:szCs w:val="21"/>
          <w:lang w:val="es-419"/>
        </w:rPr>
        <w:t>Constitución Federal</w:t>
      </w:r>
      <w:r w:rsidR="004C62CA" w:rsidRPr="005C397C">
        <w:rPr>
          <w:rFonts w:ascii="Verdana" w:hAnsi="Verdana" w:cs="Arial"/>
          <w:sz w:val="21"/>
          <w:szCs w:val="21"/>
          <w:lang w:val="es-419"/>
        </w:rPr>
        <w:t xml:space="preserve">, para establecer que las autoridades administrativas electorales tienen atribuciones relacionadas con la vigilancia de las actividades de los partidos políticos y coaliciones, así como de los candidatos y sus simpatizantes, para que tales actividades se desarrollen con apego a la ley. El ejercicio de dichas atribuciones debe satisfacer el principio depurador del proceso electoral respectivo, a fin de asegurar su apego a la legalidad a través del voto universal, libre, secreto y directo, con la finalidad de preservar la voluntad popular cuando se requiera la reorientación o reencauzamiento de las actividades de los actores políticos, a través del ejercicio de atribuciones correctivas e inhibitorias de la autoridad y no exclusivamente de aquellas que sean sancionadoras o anulatorias. </w:t>
      </w:r>
    </w:p>
    <w:p w14:paraId="65734E1C" w14:textId="77777777" w:rsidR="004C62CA" w:rsidRPr="005C397C" w:rsidRDefault="004C62CA" w:rsidP="00B273B7">
      <w:pPr>
        <w:tabs>
          <w:tab w:val="left" w:pos="2955"/>
        </w:tabs>
        <w:spacing w:before="100" w:beforeAutospacing="1" w:after="100" w:afterAutospacing="1" w:line="360" w:lineRule="auto"/>
        <w:jc w:val="both"/>
        <w:rPr>
          <w:rFonts w:ascii="Verdana" w:hAnsi="Verdana" w:cs="Arial"/>
          <w:sz w:val="21"/>
          <w:szCs w:val="21"/>
          <w:lang w:val="es-419"/>
        </w:rPr>
      </w:pPr>
      <w:r w:rsidRPr="005C397C">
        <w:rPr>
          <w:rFonts w:ascii="Verdana" w:hAnsi="Verdana" w:cs="Arial"/>
          <w:sz w:val="21"/>
          <w:szCs w:val="21"/>
          <w:lang w:val="es-419"/>
        </w:rPr>
        <w:t xml:space="preserve">Lo anterior, así se estableció en la Jurisprudencia histórica de rubro: </w:t>
      </w:r>
      <w:r w:rsidRPr="005C397C">
        <w:rPr>
          <w:rFonts w:ascii="Verdana" w:hAnsi="Verdana" w:cs="Arial"/>
          <w:b/>
          <w:bCs/>
          <w:i/>
          <w:iCs/>
          <w:sz w:val="21"/>
          <w:szCs w:val="21"/>
          <w:lang w:val="es-419"/>
        </w:rPr>
        <w:t>“PROCEDIMIENTO SUMARIO PREVENTIVO. FACULTAD DE LA AUTORIDAD ELECTORAL PARA INSTAURARLO”.</w:t>
      </w:r>
      <w:r w:rsidRPr="005C397C">
        <w:rPr>
          <w:rStyle w:val="Refdenotaalpie"/>
          <w:rFonts w:ascii="Verdana" w:hAnsi="Verdana" w:cs="Arial"/>
          <w:b/>
          <w:bCs/>
          <w:i/>
          <w:iCs/>
          <w:sz w:val="21"/>
          <w:szCs w:val="21"/>
          <w:lang w:val="es-419"/>
        </w:rPr>
        <w:footnoteReference w:id="4"/>
      </w:r>
    </w:p>
    <w:p w14:paraId="13887558" w14:textId="77777777" w:rsidR="004C62CA" w:rsidRPr="005C397C" w:rsidRDefault="004C62CA" w:rsidP="00B273B7">
      <w:pPr>
        <w:tabs>
          <w:tab w:val="left" w:pos="2955"/>
        </w:tabs>
        <w:spacing w:before="100" w:beforeAutospacing="1" w:after="100" w:afterAutospacing="1" w:line="360" w:lineRule="auto"/>
        <w:jc w:val="both"/>
        <w:rPr>
          <w:rFonts w:ascii="Verdana" w:hAnsi="Verdana" w:cs="Arial"/>
          <w:sz w:val="21"/>
          <w:szCs w:val="21"/>
          <w:lang w:val="es-419"/>
        </w:rPr>
      </w:pPr>
      <w:r w:rsidRPr="005C397C">
        <w:rPr>
          <w:rFonts w:ascii="Verdana" w:hAnsi="Verdana" w:cs="Arial"/>
          <w:sz w:val="21"/>
          <w:szCs w:val="21"/>
          <w:lang w:val="es-419"/>
        </w:rPr>
        <w:t>El anterior criterio, fue adoptado por el legislador en la reforma constitucional y legal de dos mil siete y dos mil ocho, mediante la cual se incorporó el procedimiento especial sancionador.</w:t>
      </w:r>
    </w:p>
    <w:p w14:paraId="750A7D65" w14:textId="77777777" w:rsidR="004C62CA" w:rsidRPr="005C397C" w:rsidRDefault="004C62CA" w:rsidP="00B273B7">
      <w:pPr>
        <w:pStyle w:val="NormalWeb"/>
        <w:shd w:val="clear" w:color="auto" w:fill="FFFFFF"/>
        <w:spacing w:line="360" w:lineRule="auto"/>
        <w:jc w:val="both"/>
        <w:rPr>
          <w:rFonts w:ascii="Verdana" w:hAnsi="Verdana"/>
          <w:sz w:val="21"/>
          <w:szCs w:val="21"/>
        </w:rPr>
      </w:pPr>
      <w:r w:rsidRPr="005C397C">
        <w:rPr>
          <w:rFonts w:ascii="Verdana" w:hAnsi="Verdana" w:cs="Arial"/>
          <w:sz w:val="21"/>
          <w:szCs w:val="21"/>
        </w:rPr>
        <w:t xml:space="preserve">Asimismo, el trece de abril de dos mil veinte se publicó en el Diario Oficial de la Federación el Decreto por el que, </w:t>
      </w:r>
      <w:r w:rsidRPr="005C397C">
        <w:rPr>
          <w:rFonts w:ascii="Verdana" w:hAnsi="Verdana"/>
          <w:sz w:val="21"/>
          <w:szCs w:val="21"/>
        </w:rPr>
        <w:t>el Congreso de la Unión llevó a cabo una reforma en materia de violencia política en razón de género, con la finalidad de implementar las medidas apropiadas para eliminar la discriminación y la violencia contra la mujer en la vida política y pública del país.</w:t>
      </w:r>
      <w:r w:rsidRPr="005C397C">
        <w:rPr>
          <w:rStyle w:val="Refdenotaalpie"/>
          <w:rFonts w:ascii="Verdana" w:hAnsi="Verdana"/>
          <w:sz w:val="21"/>
          <w:szCs w:val="21"/>
        </w:rPr>
        <w:footnoteReference w:id="5"/>
      </w:r>
    </w:p>
    <w:p w14:paraId="2E797006" w14:textId="77777777" w:rsidR="004C62CA" w:rsidRPr="005C397C" w:rsidRDefault="004C62CA" w:rsidP="00B273B7">
      <w:pPr>
        <w:tabs>
          <w:tab w:val="left" w:pos="2955"/>
        </w:tabs>
        <w:spacing w:before="100" w:beforeAutospacing="1" w:after="100" w:afterAutospacing="1" w:line="360" w:lineRule="auto"/>
        <w:jc w:val="both"/>
        <w:rPr>
          <w:rFonts w:ascii="Verdana" w:hAnsi="Verdana"/>
          <w:sz w:val="21"/>
          <w:szCs w:val="21"/>
        </w:rPr>
      </w:pPr>
      <w:r w:rsidRPr="005C397C">
        <w:rPr>
          <w:rFonts w:ascii="Verdana" w:hAnsi="Verdana"/>
          <w:sz w:val="21"/>
          <w:szCs w:val="21"/>
        </w:rPr>
        <w:t>En dicha reforma entre otras cosas, se estableció en el artículo 440 numerales 1 y 3, de la Ley General de Instituciones y Procedimientos Electorales (</w:t>
      </w:r>
      <w:r w:rsidRPr="005C397C">
        <w:rPr>
          <w:rFonts w:ascii="Verdana" w:hAnsi="Verdana"/>
          <w:smallCaps/>
          <w:sz w:val="21"/>
          <w:szCs w:val="21"/>
        </w:rPr>
        <w:t>LEGIPE</w:t>
      </w:r>
      <w:r w:rsidRPr="005C397C">
        <w:rPr>
          <w:rFonts w:ascii="Verdana" w:hAnsi="Verdana"/>
          <w:sz w:val="21"/>
          <w:szCs w:val="21"/>
        </w:rPr>
        <w:t xml:space="preserve">), que las leyes electorales locales deberán considerar las reglas de los procedimientos sancionadores, y </w:t>
      </w:r>
      <w:r w:rsidRPr="005C397C">
        <w:rPr>
          <w:rFonts w:ascii="Verdana" w:hAnsi="Verdana"/>
          <w:b/>
          <w:bCs/>
          <w:sz w:val="21"/>
          <w:szCs w:val="21"/>
        </w:rPr>
        <w:t>para los casos de violencia política contra las mujeres en razón de género deberán regular el procedimiento especial sancionador</w:t>
      </w:r>
      <w:r w:rsidRPr="005C397C">
        <w:rPr>
          <w:rFonts w:ascii="Verdana" w:hAnsi="Verdana"/>
          <w:sz w:val="21"/>
          <w:szCs w:val="21"/>
        </w:rPr>
        <w:t>.</w:t>
      </w:r>
    </w:p>
    <w:p w14:paraId="03CB520D" w14:textId="77777777" w:rsidR="004C62CA" w:rsidRPr="005C397C" w:rsidRDefault="004C62CA" w:rsidP="00B273B7">
      <w:pPr>
        <w:tabs>
          <w:tab w:val="left" w:pos="2955"/>
        </w:tabs>
        <w:spacing w:before="100" w:beforeAutospacing="1" w:after="100" w:afterAutospacing="1" w:line="360" w:lineRule="auto"/>
        <w:jc w:val="both"/>
        <w:rPr>
          <w:rFonts w:ascii="Verdana" w:hAnsi="Verdana"/>
          <w:sz w:val="21"/>
          <w:szCs w:val="21"/>
        </w:rPr>
      </w:pPr>
      <w:bookmarkStart w:id="4" w:name="_Hlk129769233"/>
      <w:r w:rsidRPr="005C397C">
        <w:rPr>
          <w:rFonts w:ascii="Verdana" w:hAnsi="Verdana"/>
          <w:sz w:val="21"/>
          <w:szCs w:val="21"/>
        </w:rPr>
        <w:lastRenderedPageBreak/>
        <w:t xml:space="preserve">Al respeto, la </w:t>
      </w:r>
      <w:r w:rsidRPr="005C397C">
        <w:rPr>
          <w:rFonts w:ascii="Verdana" w:hAnsi="Verdana"/>
          <w:smallCaps/>
          <w:sz w:val="21"/>
          <w:szCs w:val="21"/>
        </w:rPr>
        <w:t>Sala Superior</w:t>
      </w:r>
      <w:r w:rsidRPr="005C397C">
        <w:rPr>
          <w:rFonts w:ascii="Verdana" w:hAnsi="Verdana"/>
          <w:sz w:val="21"/>
          <w:szCs w:val="21"/>
        </w:rPr>
        <w:t xml:space="preserve"> señaló que la anterior reforma configura un nuevo diseño institucional para la protección de los derechos fundamentales de las mujeres, con una relevancia trascendente dada las dimensiones de la violencia política perpetrada contra las mujeres que impide el adecuado ejercicio de sus derechos fundamentales en materia política y electoral.</w:t>
      </w:r>
      <w:r w:rsidRPr="005C397C">
        <w:rPr>
          <w:rStyle w:val="Refdenotaalpie"/>
          <w:rFonts w:ascii="Verdana" w:hAnsi="Verdana"/>
          <w:sz w:val="21"/>
          <w:szCs w:val="21"/>
        </w:rPr>
        <w:footnoteReference w:id="6"/>
      </w:r>
      <w:r w:rsidRPr="005C397C">
        <w:rPr>
          <w:rFonts w:ascii="Verdana" w:hAnsi="Verdana"/>
          <w:sz w:val="21"/>
          <w:szCs w:val="21"/>
        </w:rPr>
        <w:t xml:space="preserve"> </w:t>
      </w:r>
    </w:p>
    <w:bookmarkEnd w:id="4"/>
    <w:p w14:paraId="60F8BD88" w14:textId="742789DB" w:rsidR="004C62CA" w:rsidRPr="005C397C" w:rsidRDefault="004C62CA" w:rsidP="00B273B7">
      <w:pPr>
        <w:tabs>
          <w:tab w:val="left" w:pos="2955"/>
        </w:tabs>
        <w:spacing w:before="100" w:beforeAutospacing="1" w:after="100" w:afterAutospacing="1" w:line="360" w:lineRule="auto"/>
        <w:jc w:val="both"/>
        <w:rPr>
          <w:rFonts w:ascii="Verdana" w:hAnsi="Verdana" w:cs="Arial"/>
          <w:sz w:val="21"/>
          <w:szCs w:val="21"/>
          <w:lang w:val="es-419"/>
        </w:rPr>
      </w:pPr>
      <w:r w:rsidRPr="005C397C">
        <w:rPr>
          <w:rFonts w:ascii="Verdana" w:hAnsi="Verdana" w:cs="Arial"/>
          <w:sz w:val="21"/>
          <w:szCs w:val="21"/>
          <w:lang w:val="es-419"/>
        </w:rPr>
        <w:t xml:space="preserve">Al respecto, </w:t>
      </w:r>
      <w:r w:rsidRPr="005C397C">
        <w:rPr>
          <w:rFonts w:ascii="Verdana" w:hAnsi="Verdana" w:cs="Arial"/>
          <w:sz w:val="21"/>
          <w:szCs w:val="21"/>
          <w:lang w:val="es-ES_tradnl"/>
        </w:rPr>
        <w:t xml:space="preserve">conforme a la libertad configurativa que gozan las legislaturas de los Estados, en la creación de leyes electorales, conforme al artículo 116, párrafo segundo, fracción IV, inciso o), de la </w:t>
      </w:r>
      <w:r w:rsidRPr="005C397C">
        <w:rPr>
          <w:rFonts w:ascii="Verdana" w:hAnsi="Verdana" w:cs="Arial"/>
          <w:smallCaps/>
          <w:sz w:val="21"/>
          <w:szCs w:val="21"/>
          <w:lang w:val="es-ES_tradnl"/>
        </w:rPr>
        <w:t>Constitución Federal</w:t>
      </w:r>
      <w:r w:rsidRPr="005C397C">
        <w:rPr>
          <w:rFonts w:ascii="Verdana" w:hAnsi="Verdana" w:cs="Arial"/>
          <w:sz w:val="21"/>
          <w:szCs w:val="21"/>
          <w:lang w:val="es-ES_tradnl"/>
        </w:rPr>
        <w:t>, e</w:t>
      </w:r>
      <w:r w:rsidRPr="005C397C">
        <w:rPr>
          <w:rFonts w:ascii="Verdana" w:hAnsi="Verdana" w:cs="Arial"/>
          <w:sz w:val="21"/>
          <w:szCs w:val="21"/>
        </w:rPr>
        <w:t xml:space="preserve">l Legislador de Aguascalientes, integró en el </w:t>
      </w:r>
      <w:r w:rsidRPr="005C397C">
        <w:rPr>
          <w:rFonts w:ascii="Verdana" w:hAnsi="Verdana" w:cs="Arial"/>
          <w:smallCaps/>
          <w:sz w:val="21"/>
          <w:szCs w:val="21"/>
        </w:rPr>
        <w:t>Código Electoral,</w:t>
      </w:r>
      <w:r w:rsidRPr="005C397C">
        <w:rPr>
          <w:rFonts w:ascii="Verdana" w:hAnsi="Verdana" w:cs="Arial"/>
          <w:sz w:val="21"/>
          <w:szCs w:val="21"/>
        </w:rPr>
        <w:t xml:space="preserve"> el sistema de procedimiento mixto y de competencia dual, </w:t>
      </w:r>
      <w:r w:rsidRPr="005C397C">
        <w:rPr>
          <w:rFonts w:ascii="Verdana" w:hAnsi="Verdana" w:cs="Arial"/>
          <w:b/>
          <w:bCs/>
          <w:sz w:val="21"/>
          <w:szCs w:val="21"/>
          <w:u w:val="single"/>
        </w:rPr>
        <w:t xml:space="preserve">en donde el </w:t>
      </w:r>
      <w:r w:rsidRPr="005C397C">
        <w:rPr>
          <w:rFonts w:ascii="Verdana" w:hAnsi="Verdana" w:cs="Arial"/>
          <w:b/>
          <w:bCs/>
          <w:smallCaps/>
          <w:sz w:val="21"/>
          <w:szCs w:val="21"/>
          <w:u w:val="single"/>
        </w:rPr>
        <w:t>Instituto Electoral</w:t>
      </w:r>
      <w:r w:rsidRPr="005C397C">
        <w:rPr>
          <w:rFonts w:ascii="Verdana" w:hAnsi="Verdana" w:cs="Arial"/>
          <w:b/>
          <w:bCs/>
          <w:sz w:val="21"/>
          <w:szCs w:val="21"/>
          <w:u w:val="single"/>
        </w:rPr>
        <w:t xml:space="preserve">, se encarga se sustanciar los procedimientos especiales sancionadores, y este </w:t>
      </w:r>
      <w:r w:rsidRPr="005C397C">
        <w:rPr>
          <w:rFonts w:ascii="Verdana" w:hAnsi="Verdana" w:cs="Arial"/>
          <w:b/>
          <w:bCs/>
          <w:smallCaps/>
          <w:sz w:val="21"/>
          <w:szCs w:val="21"/>
          <w:u w:val="single"/>
        </w:rPr>
        <w:t>Tribunal</w:t>
      </w:r>
      <w:r w:rsidR="00904CF1" w:rsidRPr="005C397C">
        <w:rPr>
          <w:rFonts w:ascii="Verdana" w:hAnsi="Verdana" w:cs="Arial"/>
          <w:b/>
          <w:bCs/>
          <w:smallCaps/>
          <w:sz w:val="21"/>
          <w:szCs w:val="21"/>
          <w:u w:val="single"/>
        </w:rPr>
        <w:t xml:space="preserve"> Electoral</w:t>
      </w:r>
      <w:r w:rsidRPr="005C397C">
        <w:rPr>
          <w:rFonts w:ascii="Verdana" w:hAnsi="Verdana" w:cs="Arial"/>
          <w:b/>
          <w:bCs/>
          <w:sz w:val="21"/>
          <w:szCs w:val="21"/>
          <w:u w:val="single"/>
        </w:rPr>
        <w:t>, los resuelve</w:t>
      </w:r>
      <w:r w:rsidRPr="005C397C">
        <w:rPr>
          <w:rFonts w:ascii="Verdana" w:hAnsi="Verdana" w:cs="Arial"/>
          <w:sz w:val="21"/>
          <w:szCs w:val="21"/>
        </w:rPr>
        <w:t xml:space="preserve">. </w:t>
      </w:r>
    </w:p>
    <w:p w14:paraId="2E163625" w14:textId="2EEEFE71" w:rsidR="004C62CA" w:rsidRPr="005C397C" w:rsidRDefault="003F0048" w:rsidP="00B273B7">
      <w:pPr>
        <w:tabs>
          <w:tab w:val="left" w:pos="2955"/>
        </w:tabs>
        <w:spacing w:before="100" w:beforeAutospacing="1" w:after="100" w:afterAutospacing="1" w:line="360" w:lineRule="auto"/>
        <w:jc w:val="both"/>
        <w:rPr>
          <w:rFonts w:ascii="Verdana" w:hAnsi="Verdana" w:cs="Arial"/>
          <w:sz w:val="21"/>
          <w:szCs w:val="21"/>
          <w:lang w:val="es-419"/>
        </w:rPr>
      </w:pPr>
      <w:r w:rsidRPr="005C397C">
        <w:rPr>
          <w:rFonts w:ascii="Verdana" w:hAnsi="Verdana" w:cs="Arial"/>
          <w:sz w:val="21"/>
          <w:szCs w:val="21"/>
          <w:lang w:val="es-419"/>
        </w:rPr>
        <w:t>Así se estableció</w:t>
      </w:r>
      <w:r w:rsidR="004C62CA" w:rsidRPr="005C397C">
        <w:rPr>
          <w:rFonts w:ascii="Verdana" w:hAnsi="Verdana" w:cs="Arial"/>
          <w:sz w:val="21"/>
          <w:szCs w:val="21"/>
          <w:lang w:val="es-419"/>
        </w:rPr>
        <w:t>, e</w:t>
      </w:r>
      <w:r w:rsidRPr="005C397C">
        <w:rPr>
          <w:rFonts w:ascii="Verdana" w:hAnsi="Verdana" w:cs="Arial"/>
          <w:sz w:val="21"/>
          <w:szCs w:val="21"/>
          <w:lang w:val="es-419"/>
        </w:rPr>
        <w:t xml:space="preserve">n los </w:t>
      </w:r>
      <w:r w:rsidR="004C62CA" w:rsidRPr="005C397C">
        <w:rPr>
          <w:rFonts w:ascii="Verdana" w:hAnsi="Verdana" w:cs="Arial"/>
          <w:sz w:val="21"/>
          <w:szCs w:val="21"/>
          <w:lang w:val="es-419"/>
        </w:rPr>
        <w:t>artículo</w:t>
      </w:r>
      <w:r w:rsidRPr="005C397C">
        <w:rPr>
          <w:rFonts w:ascii="Verdana" w:hAnsi="Verdana" w:cs="Arial"/>
          <w:sz w:val="21"/>
          <w:szCs w:val="21"/>
          <w:lang w:val="es-419"/>
        </w:rPr>
        <w:t>s</w:t>
      </w:r>
      <w:r w:rsidR="004C62CA" w:rsidRPr="005C397C">
        <w:rPr>
          <w:rFonts w:ascii="Verdana" w:hAnsi="Verdana" w:cs="Arial"/>
          <w:sz w:val="21"/>
          <w:szCs w:val="21"/>
          <w:lang w:val="es-419"/>
        </w:rPr>
        <w:t xml:space="preserve"> 268</w:t>
      </w:r>
      <w:r w:rsidRPr="005C397C">
        <w:rPr>
          <w:rFonts w:ascii="Verdana" w:hAnsi="Verdana" w:cs="Arial"/>
          <w:sz w:val="21"/>
          <w:szCs w:val="21"/>
          <w:lang w:val="es-419"/>
        </w:rPr>
        <w:t>,</w:t>
      </w:r>
      <w:r w:rsidR="004C62CA" w:rsidRPr="005C397C">
        <w:rPr>
          <w:rFonts w:ascii="Verdana" w:hAnsi="Verdana" w:cs="Arial"/>
          <w:sz w:val="21"/>
          <w:szCs w:val="21"/>
          <w:lang w:val="es-419"/>
        </w:rPr>
        <w:t xml:space="preserve"> inciso IV,</w:t>
      </w:r>
      <w:r w:rsidRPr="005C397C">
        <w:rPr>
          <w:rFonts w:ascii="Verdana" w:hAnsi="Verdana" w:cs="Arial"/>
          <w:sz w:val="21"/>
          <w:szCs w:val="21"/>
          <w:lang w:val="es-419"/>
        </w:rPr>
        <w:t xml:space="preserve"> </w:t>
      </w:r>
      <w:r w:rsidR="00185499" w:rsidRPr="005C397C">
        <w:rPr>
          <w:rFonts w:ascii="Verdana" w:hAnsi="Verdana" w:cs="Arial"/>
          <w:sz w:val="21"/>
          <w:szCs w:val="21"/>
          <w:lang w:val="es-419"/>
        </w:rPr>
        <w:t xml:space="preserve">269, </w:t>
      </w:r>
      <w:r w:rsidRPr="005C397C">
        <w:rPr>
          <w:rFonts w:ascii="Verdana" w:hAnsi="Verdana" w:cs="Arial"/>
          <w:sz w:val="21"/>
          <w:szCs w:val="21"/>
          <w:lang w:val="es-419"/>
        </w:rPr>
        <w:t>271, 272, 273, 274 y 275</w:t>
      </w:r>
      <w:r w:rsidR="004C62CA" w:rsidRPr="005C397C">
        <w:rPr>
          <w:rFonts w:ascii="Verdana" w:hAnsi="Verdana" w:cs="Arial"/>
          <w:sz w:val="21"/>
          <w:szCs w:val="21"/>
          <w:lang w:val="es-419"/>
        </w:rPr>
        <w:t xml:space="preserve"> del </w:t>
      </w:r>
      <w:r w:rsidR="004C62CA" w:rsidRPr="005C397C">
        <w:rPr>
          <w:rFonts w:ascii="Verdana" w:hAnsi="Verdana" w:cs="Arial"/>
          <w:smallCaps/>
          <w:sz w:val="21"/>
          <w:szCs w:val="21"/>
          <w:lang w:val="es-419"/>
        </w:rPr>
        <w:t>Código Electoral</w:t>
      </w:r>
      <w:r w:rsidR="004C62CA" w:rsidRPr="005C397C">
        <w:rPr>
          <w:rFonts w:ascii="Verdana" w:hAnsi="Verdana" w:cs="Arial"/>
          <w:sz w:val="21"/>
          <w:szCs w:val="21"/>
          <w:lang w:val="es-419"/>
        </w:rPr>
        <w:t xml:space="preserve">, </w:t>
      </w:r>
      <w:r w:rsidRPr="005C397C">
        <w:rPr>
          <w:rFonts w:ascii="Verdana" w:hAnsi="Verdana" w:cs="Arial"/>
          <w:sz w:val="21"/>
          <w:szCs w:val="21"/>
          <w:lang w:val="es-419"/>
        </w:rPr>
        <w:t xml:space="preserve">que </w:t>
      </w:r>
      <w:r w:rsidR="004C62CA" w:rsidRPr="005C397C">
        <w:rPr>
          <w:rFonts w:ascii="Verdana" w:hAnsi="Verdana" w:cs="Arial"/>
          <w:sz w:val="21"/>
          <w:szCs w:val="21"/>
          <w:lang w:val="es-419"/>
        </w:rPr>
        <w:t>señala</w:t>
      </w:r>
      <w:r w:rsidRPr="005C397C">
        <w:rPr>
          <w:rFonts w:ascii="Verdana" w:hAnsi="Verdana" w:cs="Arial"/>
          <w:sz w:val="21"/>
          <w:szCs w:val="21"/>
          <w:lang w:val="es-419"/>
        </w:rPr>
        <w:t>n</w:t>
      </w:r>
      <w:r w:rsidR="004C62CA" w:rsidRPr="005C397C">
        <w:rPr>
          <w:rFonts w:ascii="Verdana" w:hAnsi="Verdana" w:cs="Arial"/>
          <w:sz w:val="21"/>
          <w:szCs w:val="21"/>
          <w:lang w:val="es-419"/>
        </w:rPr>
        <w:t xml:space="preserve"> que la Secretaría Ejecutiva instruirá el procedimiento especial sancionador cuando se denuncie la comisión de conductas que </w:t>
      </w:r>
      <w:r w:rsidR="004C62CA" w:rsidRPr="005C397C">
        <w:rPr>
          <w:rFonts w:ascii="Verdana" w:hAnsi="Verdana"/>
          <w:sz w:val="21"/>
          <w:szCs w:val="21"/>
        </w:rPr>
        <w:t xml:space="preserve">constituyan casos de </w:t>
      </w:r>
      <w:r w:rsidR="00904CF1" w:rsidRPr="005C397C">
        <w:rPr>
          <w:rFonts w:ascii="Verdana" w:hAnsi="Verdana"/>
          <w:smallCaps/>
          <w:sz w:val="21"/>
          <w:szCs w:val="21"/>
        </w:rPr>
        <w:t>VPMG</w:t>
      </w:r>
      <w:r w:rsidR="00904CF1" w:rsidRPr="005C397C">
        <w:rPr>
          <w:rFonts w:ascii="Verdana" w:hAnsi="Verdana"/>
          <w:sz w:val="21"/>
          <w:szCs w:val="21"/>
        </w:rPr>
        <w:t xml:space="preserve"> </w:t>
      </w:r>
      <w:r w:rsidR="00BE042A" w:rsidRPr="005C397C">
        <w:rPr>
          <w:rFonts w:ascii="Verdana" w:hAnsi="Verdana"/>
          <w:sz w:val="21"/>
          <w:szCs w:val="21"/>
        </w:rPr>
        <w:t>y</w:t>
      </w:r>
      <w:r w:rsidRPr="005C397C">
        <w:rPr>
          <w:rFonts w:ascii="Verdana" w:hAnsi="Verdana"/>
          <w:sz w:val="21"/>
          <w:szCs w:val="21"/>
        </w:rPr>
        <w:t xml:space="preserve"> los </w:t>
      </w:r>
      <w:r w:rsidR="00185499" w:rsidRPr="005C397C">
        <w:rPr>
          <w:rFonts w:ascii="Verdana" w:hAnsi="Verdana"/>
          <w:sz w:val="21"/>
          <w:szCs w:val="21"/>
        </w:rPr>
        <w:t>sustanciará</w:t>
      </w:r>
      <w:r w:rsidR="00BE042A" w:rsidRPr="005C397C">
        <w:rPr>
          <w:rFonts w:ascii="Verdana" w:hAnsi="Verdana"/>
          <w:sz w:val="21"/>
          <w:szCs w:val="21"/>
        </w:rPr>
        <w:t xml:space="preserve">; y este </w:t>
      </w:r>
      <w:r w:rsidR="00B342A1" w:rsidRPr="005C397C">
        <w:rPr>
          <w:rFonts w:ascii="Verdana" w:eastAsia="Arial Nova" w:hAnsi="Verdana" w:cs="Arial"/>
          <w:bCs/>
          <w:smallCaps/>
          <w:sz w:val="21"/>
          <w:szCs w:val="21"/>
        </w:rPr>
        <w:t>Tribunal Electoral</w:t>
      </w:r>
      <w:r w:rsidR="00B342A1" w:rsidRPr="005C397C">
        <w:rPr>
          <w:rFonts w:ascii="Verdana" w:eastAsia="Arial Nova" w:hAnsi="Verdana" w:cs="Arial"/>
          <w:bCs/>
          <w:sz w:val="21"/>
          <w:szCs w:val="21"/>
        </w:rPr>
        <w:t xml:space="preserve"> </w:t>
      </w:r>
      <w:r w:rsidR="00BE042A" w:rsidRPr="005C397C">
        <w:rPr>
          <w:rFonts w:ascii="Verdana" w:hAnsi="Verdana"/>
          <w:sz w:val="21"/>
          <w:szCs w:val="21"/>
        </w:rPr>
        <w:t>los resolverá.</w:t>
      </w:r>
    </w:p>
    <w:p w14:paraId="097DFFB1" w14:textId="77777777" w:rsidR="000801D9" w:rsidRPr="005C397C" w:rsidRDefault="004C62CA" w:rsidP="00B273B7">
      <w:pPr>
        <w:tabs>
          <w:tab w:val="left" w:pos="2955"/>
        </w:tabs>
        <w:spacing w:before="100" w:beforeAutospacing="1" w:after="100" w:afterAutospacing="1" w:line="360" w:lineRule="auto"/>
        <w:jc w:val="both"/>
        <w:rPr>
          <w:rFonts w:ascii="Verdana" w:hAnsi="Verdana" w:cs="Arial"/>
          <w:sz w:val="21"/>
          <w:szCs w:val="21"/>
          <w:lang w:val="es-419"/>
        </w:rPr>
      </w:pPr>
      <w:r w:rsidRPr="005C397C">
        <w:rPr>
          <w:rFonts w:ascii="Verdana" w:hAnsi="Verdana" w:cs="Arial"/>
          <w:sz w:val="21"/>
          <w:szCs w:val="21"/>
          <w:lang w:val="es-419"/>
        </w:rPr>
        <w:t>En ese contexto, en la comisión de violencia política de género, el procedimiento especial sancionador tiene como finalidad, no solo sancionar las conductas infractoras o decretar garantías de no repetición, sino, en la medida de lo posible, garantizar el derecho humano a una reparación integral del daño</w:t>
      </w:r>
      <w:r w:rsidR="00BE042A" w:rsidRPr="005C397C">
        <w:rPr>
          <w:rFonts w:ascii="Verdana" w:hAnsi="Verdana" w:cs="Arial"/>
          <w:sz w:val="21"/>
          <w:szCs w:val="21"/>
          <w:lang w:val="es-419"/>
        </w:rPr>
        <w:t>; y, a la no repetición.</w:t>
      </w:r>
    </w:p>
    <w:p w14:paraId="407C4FA5" w14:textId="2B5A192B" w:rsidR="004C62CA" w:rsidRPr="005C397C" w:rsidRDefault="000801D9" w:rsidP="00B273B7">
      <w:pPr>
        <w:tabs>
          <w:tab w:val="left" w:pos="2955"/>
        </w:tabs>
        <w:spacing w:before="100" w:beforeAutospacing="1" w:after="100" w:afterAutospacing="1" w:line="360" w:lineRule="auto"/>
        <w:jc w:val="both"/>
        <w:rPr>
          <w:rFonts w:ascii="Verdana" w:eastAsia="Arial Nova" w:hAnsi="Verdana" w:cs="Arial"/>
          <w:bCs/>
          <w:sz w:val="21"/>
          <w:szCs w:val="21"/>
          <w:lang w:val="es-419"/>
        </w:rPr>
      </w:pPr>
      <w:r w:rsidRPr="005C397C">
        <w:rPr>
          <w:rFonts w:ascii="Verdana" w:eastAsia="Arial Nova" w:hAnsi="Verdana" w:cs="Arial"/>
          <w:bCs/>
          <w:sz w:val="21"/>
          <w:szCs w:val="21"/>
          <w:lang w:val="es-419"/>
        </w:rPr>
        <w:t>Ahora bien, el párrafo</w:t>
      </w:r>
      <w:r w:rsidR="00A24919" w:rsidRPr="005C397C">
        <w:rPr>
          <w:rFonts w:ascii="Verdana" w:eastAsia="Arial Nova" w:hAnsi="Verdana" w:cs="Arial"/>
          <w:bCs/>
          <w:sz w:val="21"/>
          <w:szCs w:val="21"/>
          <w:lang w:val="es-419"/>
        </w:rPr>
        <w:t xml:space="preserve"> tercero</w:t>
      </w:r>
      <w:r w:rsidRPr="005C397C">
        <w:rPr>
          <w:rFonts w:ascii="Verdana" w:eastAsia="Arial Nova" w:hAnsi="Verdana" w:cs="Arial"/>
          <w:bCs/>
          <w:sz w:val="21"/>
          <w:szCs w:val="21"/>
          <w:lang w:val="es-419"/>
        </w:rPr>
        <w:t xml:space="preserve"> del artículo 251, del </w:t>
      </w:r>
      <w:r w:rsidRPr="005C397C">
        <w:rPr>
          <w:rFonts w:ascii="Verdana" w:eastAsia="Arial Nova" w:hAnsi="Verdana" w:cs="Arial"/>
          <w:bCs/>
          <w:smallCaps/>
          <w:sz w:val="21"/>
          <w:szCs w:val="21"/>
          <w:lang w:val="es-419"/>
        </w:rPr>
        <w:t>Código Electoral</w:t>
      </w:r>
      <w:r w:rsidRPr="005C397C">
        <w:rPr>
          <w:rFonts w:ascii="Verdana" w:eastAsia="Arial Nova" w:hAnsi="Verdana" w:cs="Arial"/>
          <w:bCs/>
          <w:sz w:val="21"/>
          <w:szCs w:val="21"/>
          <w:lang w:val="es-419"/>
        </w:rPr>
        <w:t>, expresa que se considerará reincidente al infractor que habiendo sido declarado responsable mediante resolución firme del incumplimiento a alguna de las obligaciones a que se refiere el presente Código, incurra nuevamente en la misma conducta infractora al presente ordenamiento legal.</w:t>
      </w:r>
    </w:p>
    <w:p w14:paraId="2EBE1885" w14:textId="77777777" w:rsidR="005D0E08" w:rsidRPr="005C397C" w:rsidRDefault="005D0E08" w:rsidP="00B273B7">
      <w:pPr>
        <w:spacing w:before="100" w:beforeAutospacing="1" w:after="100" w:afterAutospacing="1" w:line="360" w:lineRule="auto"/>
        <w:jc w:val="both"/>
        <w:rPr>
          <w:rFonts w:ascii="Verdana" w:hAnsi="Verdana" w:cs="Arial"/>
          <w:b/>
          <w:bCs/>
          <w:sz w:val="21"/>
          <w:szCs w:val="21"/>
        </w:rPr>
      </w:pPr>
      <w:r w:rsidRPr="005C397C">
        <w:rPr>
          <w:rFonts w:ascii="Verdana" w:hAnsi="Verdana" w:cs="Arial"/>
          <w:b/>
          <w:bCs/>
          <w:sz w:val="21"/>
          <w:szCs w:val="21"/>
        </w:rPr>
        <w:t>4. OBJETO DEL INCIDENTE.</w:t>
      </w:r>
    </w:p>
    <w:p w14:paraId="4B3C1E0C" w14:textId="71E989CB" w:rsidR="00825EC1" w:rsidRPr="005C397C" w:rsidRDefault="00825EC1"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La </w:t>
      </w:r>
      <w:r w:rsidRPr="005C397C">
        <w:rPr>
          <w:rFonts w:ascii="Verdana" w:eastAsia="Arial Nova" w:hAnsi="Verdana" w:cs="Arial"/>
          <w:bCs/>
          <w:smallCaps/>
          <w:sz w:val="21"/>
          <w:szCs w:val="21"/>
        </w:rPr>
        <w:t xml:space="preserve">parte </w:t>
      </w:r>
      <w:r w:rsidR="00904CF1" w:rsidRPr="005C397C">
        <w:rPr>
          <w:rFonts w:ascii="Verdana" w:eastAsia="Arial Nova" w:hAnsi="Verdana" w:cs="Arial"/>
          <w:bCs/>
          <w:smallCaps/>
          <w:sz w:val="21"/>
          <w:szCs w:val="21"/>
        </w:rPr>
        <w:t>denunciante</w:t>
      </w:r>
      <w:r w:rsidRPr="005C397C">
        <w:rPr>
          <w:rFonts w:ascii="Verdana" w:eastAsia="Arial Nova" w:hAnsi="Verdana" w:cs="Arial"/>
          <w:bCs/>
          <w:sz w:val="21"/>
          <w:szCs w:val="21"/>
        </w:rPr>
        <w:t xml:space="preserve">, señala </w:t>
      </w:r>
      <w:r w:rsidR="005B7F04" w:rsidRPr="005C397C">
        <w:rPr>
          <w:rFonts w:ascii="Verdana" w:eastAsia="Arial Nova" w:hAnsi="Verdana" w:cs="Arial"/>
          <w:bCs/>
          <w:sz w:val="21"/>
          <w:szCs w:val="21"/>
        </w:rPr>
        <w:t>que,</w:t>
      </w:r>
      <w:r w:rsidRPr="005C397C">
        <w:rPr>
          <w:rFonts w:ascii="Verdana" w:eastAsia="Arial Nova" w:hAnsi="Verdana" w:cs="Arial"/>
          <w:bCs/>
          <w:sz w:val="21"/>
          <w:szCs w:val="21"/>
        </w:rPr>
        <w:t xml:space="preserve"> </w:t>
      </w:r>
      <w:r w:rsidR="007C4FE5" w:rsidRPr="005C397C">
        <w:rPr>
          <w:rFonts w:ascii="Verdana" w:eastAsia="Arial Nova" w:hAnsi="Verdana" w:cs="Arial"/>
          <w:bCs/>
          <w:sz w:val="21"/>
          <w:szCs w:val="21"/>
        </w:rPr>
        <w:t xml:space="preserve">en la sentencia, </w:t>
      </w:r>
      <w:r w:rsidRPr="005C397C">
        <w:rPr>
          <w:rFonts w:ascii="Verdana" w:eastAsia="Arial Nova" w:hAnsi="Verdana" w:cs="Arial"/>
          <w:bCs/>
          <w:sz w:val="21"/>
          <w:szCs w:val="21"/>
        </w:rPr>
        <w:t xml:space="preserve">de conformidad a lo establecido por el artículo 250, párrafo segundo, inciso k) y n), del </w:t>
      </w:r>
      <w:r w:rsidRPr="005C397C">
        <w:rPr>
          <w:rFonts w:ascii="Verdana" w:eastAsia="Arial Nova" w:hAnsi="Verdana" w:cs="Arial"/>
          <w:bCs/>
          <w:smallCaps/>
          <w:sz w:val="21"/>
          <w:szCs w:val="21"/>
        </w:rPr>
        <w:t>Código Electoral</w:t>
      </w:r>
      <w:r w:rsidRPr="005C397C">
        <w:rPr>
          <w:rFonts w:ascii="Verdana" w:eastAsia="Arial Nova" w:hAnsi="Verdana" w:cs="Arial"/>
          <w:bCs/>
          <w:sz w:val="21"/>
          <w:szCs w:val="21"/>
        </w:rPr>
        <w:t>, se ordenó como medidas de protección, a</w:t>
      </w:r>
      <w:r w:rsidR="00A617D8" w:rsidRPr="005C397C">
        <w:rPr>
          <w:rFonts w:ascii="Verdana" w:eastAsia="Arial Nova" w:hAnsi="Verdana" w:cs="Arial"/>
          <w:bCs/>
          <w:sz w:val="21"/>
          <w:szCs w:val="21"/>
        </w:rPr>
        <w:t xml:space="preserve"> la</w:t>
      </w:r>
      <w:r w:rsidRPr="005C397C">
        <w:rPr>
          <w:rFonts w:ascii="Verdana" w:eastAsia="Arial Nova" w:hAnsi="Verdana" w:cs="Arial"/>
          <w:bCs/>
          <w:sz w:val="21"/>
          <w:szCs w:val="21"/>
        </w:rPr>
        <w:t xml:space="preserve"> </w:t>
      </w:r>
      <w:r w:rsidR="00A617D8" w:rsidRPr="005C397C">
        <w:rPr>
          <w:rFonts w:ascii="Verdana" w:eastAsia="Arial Nova" w:hAnsi="Verdana" w:cs="Arial"/>
          <w:bCs/>
          <w:smallCaps/>
          <w:sz w:val="21"/>
          <w:szCs w:val="21"/>
        </w:rPr>
        <w:t>Persona Denunciada</w:t>
      </w:r>
      <w:r w:rsidRPr="005C397C">
        <w:rPr>
          <w:rFonts w:ascii="Verdana" w:eastAsia="Arial Nova" w:hAnsi="Verdana" w:cs="Arial"/>
          <w:bCs/>
          <w:sz w:val="21"/>
          <w:szCs w:val="21"/>
        </w:rPr>
        <w:t xml:space="preserve">, </w:t>
      </w:r>
      <w:r w:rsidR="007C4FE5" w:rsidRPr="005C397C">
        <w:rPr>
          <w:rFonts w:ascii="Verdana" w:eastAsia="Arial Nova" w:hAnsi="Verdana" w:cs="Arial"/>
          <w:bCs/>
          <w:sz w:val="21"/>
          <w:szCs w:val="21"/>
        </w:rPr>
        <w:t xml:space="preserve">de </w:t>
      </w:r>
      <w:r w:rsidRPr="005C397C">
        <w:rPr>
          <w:rFonts w:ascii="Verdana" w:eastAsia="Arial Nova" w:hAnsi="Verdana" w:cs="Arial"/>
          <w:bCs/>
          <w:sz w:val="21"/>
          <w:szCs w:val="21"/>
        </w:rPr>
        <w:t>abstenerse de realizar acciones que de manera directa o indirecta tengan por objeto o resultado, intimida</w:t>
      </w:r>
      <w:r w:rsidR="00904CF1" w:rsidRPr="005C397C">
        <w:rPr>
          <w:rFonts w:ascii="Verdana" w:eastAsia="Arial Nova" w:hAnsi="Verdana" w:cs="Arial"/>
          <w:bCs/>
          <w:sz w:val="21"/>
          <w:szCs w:val="21"/>
        </w:rPr>
        <w:t>r</w:t>
      </w:r>
      <w:r w:rsidRPr="005C397C">
        <w:rPr>
          <w:rFonts w:ascii="Verdana" w:eastAsia="Arial Nova" w:hAnsi="Verdana" w:cs="Arial"/>
          <w:bCs/>
          <w:sz w:val="21"/>
          <w:szCs w:val="21"/>
        </w:rPr>
        <w:t xml:space="preserve">, molestar o causar un daño o perjuicio a la </w:t>
      </w:r>
      <w:r w:rsidR="007C4FE5" w:rsidRPr="005C397C">
        <w:rPr>
          <w:rFonts w:ascii="Verdana" w:eastAsia="Arial Nova" w:hAnsi="Verdana" w:cs="Arial"/>
          <w:bCs/>
          <w:sz w:val="21"/>
          <w:szCs w:val="21"/>
        </w:rPr>
        <w:t>víctima.</w:t>
      </w:r>
      <w:r w:rsidRPr="005C397C">
        <w:rPr>
          <w:rFonts w:ascii="Verdana" w:eastAsia="Arial Nova" w:hAnsi="Verdana" w:cs="Arial"/>
          <w:bCs/>
          <w:sz w:val="21"/>
          <w:szCs w:val="21"/>
        </w:rPr>
        <w:t xml:space="preserve"> </w:t>
      </w:r>
    </w:p>
    <w:p w14:paraId="1ECC2C3D" w14:textId="0DB01BC8" w:rsidR="00FA0586" w:rsidRPr="005C397C" w:rsidRDefault="007C4FE5"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Derivado a ello, ya ante un nuevo acto, solicita s</w:t>
      </w:r>
      <w:r w:rsidR="00E46E64" w:rsidRPr="005C397C">
        <w:rPr>
          <w:rFonts w:ascii="Verdana" w:eastAsia="Arial Nova" w:hAnsi="Verdana" w:cs="Arial"/>
          <w:bCs/>
          <w:sz w:val="21"/>
          <w:szCs w:val="21"/>
        </w:rPr>
        <w:t xml:space="preserve">e determine el incumplimiento de la sentencia </w:t>
      </w:r>
      <w:r w:rsidR="002B2AF1" w:rsidRPr="005C397C">
        <w:rPr>
          <w:rFonts w:ascii="Verdana" w:eastAsia="Arial Nova" w:hAnsi="Verdana" w:cs="Arial"/>
          <w:bCs/>
          <w:sz w:val="21"/>
          <w:szCs w:val="21"/>
        </w:rPr>
        <w:t>y,</w:t>
      </w:r>
      <w:r w:rsidR="00E46E64" w:rsidRPr="005C397C">
        <w:rPr>
          <w:rFonts w:ascii="Verdana" w:eastAsia="Arial Nova" w:hAnsi="Verdana" w:cs="Arial"/>
          <w:bCs/>
          <w:sz w:val="21"/>
          <w:szCs w:val="21"/>
        </w:rPr>
        <w:t xml:space="preserve"> por ende, se inscriba en el Registro Estatal de Personas Sancionadas en Materia de </w:t>
      </w:r>
      <w:r w:rsidR="00113BB2" w:rsidRPr="005C397C">
        <w:rPr>
          <w:rFonts w:ascii="Verdana" w:eastAsia="Arial Nova" w:hAnsi="Verdana" w:cs="Arial"/>
          <w:bCs/>
          <w:smallCaps/>
          <w:sz w:val="21"/>
          <w:szCs w:val="21"/>
        </w:rPr>
        <w:t>VPMG</w:t>
      </w:r>
      <w:r w:rsidR="00113BB2" w:rsidRPr="005C397C">
        <w:rPr>
          <w:rFonts w:ascii="Verdana" w:eastAsia="Arial Nova" w:hAnsi="Verdana" w:cs="Arial"/>
          <w:bCs/>
          <w:sz w:val="21"/>
          <w:szCs w:val="21"/>
        </w:rPr>
        <w:t xml:space="preserve"> </w:t>
      </w:r>
      <w:r w:rsidR="00E46E64" w:rsidRPr="005C397C">
        <w:rPr>
          <w:rFonts w:ascii="Verdana" w:eastAsia="Arial Nova" w:hAnsi="Verdana" w:cs="Arial"/>
          <w:bCs/>
          <w:sz w:val="21"/>
          <w:szCs w:val="21"/>
        </w:rPr>
        <w:t>a</w:t>
      </w:r>
      <w:r w:rsidR="00A617D8" w:rsidRPr="005C397C">
        <w:rPr>
          <w:rFonts w:ascii="Verdana" w:eastAsia="Arial Nova" w:hAnsi="Verdana" w:cs="Arial"/>
          <w:bCs/>
          <w:sz w:val="21"/>
          <w:szCs w:val="21"/>
        </w:rPr>
        <w:t xml:space="preserve"> </w:t>
      </w:r>
      <w:r w:rsidR="00E46E64" w:rsidRPr="005C397C">
        <w:rPr>
          <w:rFonts w:ascii="Verdana" w:eastAsia="Arial Nova" w:hAnsi="Verdana" w:cs="Arial"/>
          <w:bCs/>
          <w:sz w:val="21"/>
          <w:szCs w:val="21"/>
        </w:rPr>
        <w:t>l</w:t>
      </w:r>
      <w:r w:rsidR="00A617D8" w:rsidRPr="005C397C">
        <w:rPr>
          <w:rFonts w:ascii="Verdana" w:eastAsia="Arial Nova" w:hAnsi="Verdana" w:cs="Arial"/>
          <w:bCs/>
          <w:sz w:val="21"/>
          <w:szCs w:val="21"/>
        </w:rPr>
        <w:t>a</w:t>
      </w:r>
      <w:r w:rsidR="00E46E64" w:rsidRPr="005C397C">
        <w:rPr>
          <w:rFonts w:ascii="Verdana" w:eastAsia="Arial Nova" w:hAnsi="Verdana" w:cs="Arial"/>
          <w:bCs/>
          <w:sz w:val="21"/>
          <w:szCs w:val="21"/>
        </w:rPr>
        <w:t xml:space="preserve"> </w:t>
      </w:r>
      <w:r w:rsidR="00A617D8" w:rsidRPr="005C397C">
        <w:rPr>
          <w:rFonts w:ascii="Verdana" w:eastAsia="Arial Nova" w:hAnsi="Verdana" w:cs="Arial"/>
          <w:bCs/>
          <w:smallCaps/>
          <w:sz w:val="21"/>
          <w:szCs w:val="21"/>
        </w:rPr>
        <w:t>Persona Denunciada</w:t>
      </w:r>
      <w:r w:rsidR="00E46E64" w:rsidRPr="005C397C">
        <w:rPr>
          <w:rFonts w:ascii="Verdana" w:eastAsia="Arial Nova" w:hAnsi="Verdana" w:cs="Arial"/>
          <w:bCs/>
          <w:sz w:val="21"/>
          <w:szCs w:val="21"/>
        </w:rPr>
        <w:t>, dándole vista a la Agencia Especializada en Delitos Electorales</w:t>
      </w:r>
      <w:r w:rsidRPr="005C397C">
        <w:rPr>
          <w:rFonts w:ascii="Verdana" w:eastAsia="Arial Nova" w:hAnsi="Verdana" w:cs="Arial"/>
          <w:bCs/>
          <w:sz w:val="21"/>
          <w:szCs w:val="21"/>
        </w:rPr>
        <w:t>.</w:t>
      </w:r>
      <w:r w:rsidR="00B12FC4" w:rsidRPr="005C397C">
        <w:rPr>
          <w:rFonts w:ascii="Verdana" w:eastAsia="Arial Nova" w:hAnsi="Verdana" w:cs="Arial"/>
          <w:bCs/>
          <w:sz w:val="21"/>
          <w:szCs w:val="21"/>
        </w:rPr>
        <w:t xml:space="preserve"> </w:t>
      </w:r>
    </w:p>
    <w:p w14:paraId="37BCD1C0" w14:textId="77777777" w:rsidR="005D0E08" w:rsidRPr="005C397C" w:rsidRDefault="005D0E08" w:rsidP="00B273B7">
      <w:pPr>
        <w:spacing w:before="100" w:beforeAutospacing="1" w:after="100" w:afterAutospacing="1" w:line="360" w:lineRule="auto"/>
        <w:jc w:val="both"/>
        <w:rPr>
          <w:rFonts w:ascii="Verdana" w:hAnsi="Verdana" w:cs="Arial"/>
          <w:b/>
          <w:bCs/>
          <w:sz w:val="21"/>
          <w:szCs w:val="21"/>
        </w:rPr>
      </w:pPr>
      <w:r w:rsidRPr="005C397C">
        <w:rPr>
          <w:rFonts w:ascii="Verdana" w:hAnsi="Verdana" w:cs="Arial"/>
          <w:b/>
          <w:bCs/>
          <w:sz w:val="21"/>
          <w:szCs w:val="21"/>
        </w:rPr>
        <w:lastRenderedPageBreak/>
        <w:t>5. ESTUDIO DE FONDO.</w:t>
      </w:r>
    </w:p>
    <w:p w14:paraId="7ED2D2AF" w14:textId="04596D32" w:rsidR="00D34030" w:rsidRPr="005C397C" w:rsidRDefault="00D34030"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Las fracciones k) y n) del artículo 250 A, del </w:t>
      </w:r>
      <w:r w:rsidRPr="005C397C">
        <w:rPr>
          <w:rFonts w:ascii="Verdana" w:eastAsia="Arial Nova" w:hAnsi="Verdana" w:cs="Arial"/>
          <w:bCs/>
          <w:smallCaps/>
          <w:sz w:val="21"/>
          <w:szCs w:val="21"/>
        </w:rPr>
        <w:t>Código Electoral</w:t>
      </w:r>
      <w:r w:rsidRPr="005C397C">
        <w:rPr>
          <w:rFonts w:ascii="Verdana" w:eastAsia="Arial Nova" w:hAnsi="Verdana" w:cs="Arial"/>
          <w:bCs/>
          <w:sz w:val="21"/>
          <w:szCs w:val="21"/>
        </w:rPr>
        <w:t>, señalan que la</w:t>
      </w:r>
      <w:r w:rsidR="00113BB2" w:rsidRPr="005C397C">
        <w:rPr>
          <w:rFonts w:ascii="Verdana" w:eastAsia="Arial Nova" w:hAnsi="Verdana" w:cs="Arial"/>
          <w:bCs/>
          <w:sz w:val="21"/>
          <w:szCs w:val="21"/>
        </w:rPr>
        <w:t xml:space="preserve"> </w:t>
      </w:r>
      <w:r w:rsidR="00113BB2" w:rsidRPr="005C397C">
        <w:rPr>
          <w:rFonts w:ascii="Verdana" w:eastAsia="Arial Nova" w:hAnsi="Verdana" w:cs="Arial"/>
          <w:bCs/>
          <w:smallCaps/>
          <w:sz w:val="21"/>
          <w:szCs w:val="21"/>
        </w:rPr>
        <w:t>VPMG</w:t>
      </w:r>
      <w:r w:rsidRPr="005C397C">
        <w:rPr>
          <w:rFonts w:ascii="Verdana" w:eastAsia="Arial Nova" w:hAnsi="Verdana" w:cs="Arial"/>
          <w:bCs/>
          <w:sz w:val="21"/>
          <w:szCs w:val="21"/>
        </w:rPr>
        <w:t xml:space="preserve">, se manifiesta, entre otras, a través de las siguientes conductas: k) </w:t>
      </w:r>
      <w:r w:rsidR="00E4384C" w:rsidRPr="005C397C">
        <w:rPr>
          <w:rFonts w:ascii="Verdana" w:eastAsia="Arial Nova" w:hAnsi="Verdana" w:cs="Arial"/>
          <w:bCs/>
          <w:sz w:val="21"/>
          <w:szCs w:val="21"/>
        </w:rPr>
        <w:t>e</w:t>
      </w:r>
      <w:r w:rsidRPr="005C397C">
        <w:rPr>
          <w:rFonts w:ascii="Verdana" w:eastAsia="Arial Nova" w:hAnsi="Verdana" w:cs="Arial"/>
          <w:bCs/>
          <w:sz w:val="21"/>
          <w:szCs w:val="21"/>
        </w:rPr>
        <w:t xml:space="preserve">jercer violencia física, sexual, simbólica, psicológica, económica o patrimonial contra una mujer en ejercicio de sus derechos político-electorales; y, n) </w:t>
      </w:r>
      <w:r w:rsidR="00E4384C" w:rsidRPr="005C397C">
        <w:rPr>
          <w:rFonts w:ascii="Verdana" w:eastAsia="Arial Nova" w:hAnsi="Verdana" w:cs="Arial"/>
          <w:bCs/>
          <w:sz w:val="21"/>
          <w:szCs w:val="21"/>
        </w:rPr>
        <w:t>c</w:t>
      </w:r>
      <w:r w:rsidRPr="005C397C">
        <w:rPr>
          <w:rFonts w:ascii="Verdana" w:eastAsia="Arial Nova" w:hAnsi="Verdana" w:cs="Arial"/>
          <w:bCs/>
          <w:sz w:val="21"/>
          <w:szCs w:val="21"/>
        </w:rPr>
        <w:t>ualquiera otra acción que lesione o dañe la dignidad, integridad o libertad de las mujeres en el ejercicio de sus derechos político-electorales.</w:t>
      </w:r>
    </w:p>
    <w:p w14:paraId="4950B1AB" w14:textId="78E98F63" w:rsidR="005D0E08" w:rsidRPr="005C397C" w:rsidRDefault="002B2AF1"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La Suprema Corte de Justicia de la Nación (</w:t>
      </w:r>
      <w:r w:rsidRPr="005C397C">
        <w:rPr>
          <w:rFonts w:ascii="Verdana" w:eastAsia="Arial Nova" w:hAnsi="Verdana" w:cs="Arial"/>
          <w:bCs/>
          <w:smallCaps/>
          <w:sz w:val="21"/>
          <w:szCs w:val="21"/>
        </w:rPr>
        <w:t>Suprema Corte</w:t>
      </w:r>
      <w:r w:rsidRPr="005C397C">
        <w:rPr>
          <w:rFonts w:ascii="Verdana" w:eastAsia="Arial Nova" w:hAnsi="Verdana" w:cs="Arial"/>
          <w:bCs/>
          <w:sz w:val="21"/>
          <w:szCs w:val="21"/>
        </w:rPr>
        <w:t xml:space="preserve">), ha establecido que el derecho de acceso a la justicia se encuentra reconocido en una gran diversidad de normas de rango constitucional, sostiene que la garantía a la tutela jurisdiccional se define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planteada y en su caso, </w:t>
      </w:r>
      <w:r w:rsidRPr="005C397C">
        <w:rPr>
          <w:rFonts w:ascii="Verdana" w:eastAsia="Arial Nova" w:hAnsi="Verdana" w:cs="Arial"/>
          <w:b/>
          <w:sz w:val="21"/>
          <w:szCs w:val="21"/>
          <w:u w:val="single"/>
        </w:rPr>
        <w:t>se ejecute esa decisión</w:t>
      </w:r>
      <w:r w:rsidRPr="005C397C">
        <w:rPr>
          <w:rFonts w:ascii="Verdana" w:eastAsia="Arial Nova" w:hAnsi="Verdana" w:cs="Arial"/>
          <w:bCs/>
          <w:sz w:val="21"/>
          <w:szCs w:val="21"/>
        </w:rPr>
        <w:t xml:space="preserve">. Derecho que comprende tres etapas: i) una previa al juicio, a la que le corresponde el derecho de acceso a la jurisdicción; </w:t>
      </w:r>
      <w:proofErr w:type="spellStart"/>
      <w:r w:rsidRPr="005C397C">
        <w:rPr>
          <w:rFonts w:ascii="Verdana" w:eastAsia="Arial Nova" w:hAnsi="Verdana" w:cs="Arial"/>
          <w:bCs/>
          <w:sz w:val="21"/>
          <w:szCs w:val="21"/>
        </w:rPr>
        <w:t>ii</w:t>
      </w:r>
      <w:proofErr w:type="spellEnd"/>
      <w:r w:rsidRPr="005C397C">
        <w:rPr>
          <w:rFonts w:ascii="Verdana" w:eastAsia="Arial Nova" w:hAnsi="Verdana" w:cs="Arial"/>
          <w:bCs/>
          <w:sz w:val="21"/>
          <w:szCs w:val="21"/>
        </w:rPr>
        <w:t xml:space="preserve">) una judicial, que va desde el inicio del procedimiento hasta la última actuación, a la que le corresponden las garantías del debido proceso; </w:t>
      </w:r>
      <w:r w:rsidRPr="005C397C">
        <w:rPr>
          <w:rFonts w:ascii="Verdana" w:eastAsia="Arial Nova" w:hAnsi="Verdana" w:cs="Arial"/>
          <w:b/>
          <w:sz w:val="21"/>
          <w:szCs w:val="21"/>
          <w:u w:val="single"/>
        </w:rPr>
        <w:t xml:space="preserve">y, </w:t>
      </w:r>
      <w:proofErr w:type="spellStart"/>
      <w:r w:rsidRPr="005C397C">
        <w:rPr>
          <w:rFonts w:ascii="Verdana" w:eastAsia="Arial Nova" w:hAnsi="Verdana" w:cs="Arial"/>
          <w:b/>
          <w:sz w:val="21"/>
          <w:szCs w:val="21"/>
          <w:u w:val="single"/>
        </w:rPr>
        <w:t>iii</w:t>
      </w:r>
      <w:proofErr w:type="spellEnd"/>
      <w:r w:rsidRPr="005C397C">
        <w:rPr>
          <w:rFonts w:ascii="Verdana" w:eastAsia="Arial Nova" w:hAnsi="Verdana" w:cs="Arial"/>
          <w:b/>
          <w:sz w:val="21"/>
          <w:szCs w:val="21"/>
          <w:u w:val="single"/>
        </w:rPr>
        <w:t>) una posterior al juicio, identificada con la eficacia de las resoluciones emitidas.</w:t>
      </w:r>
      <w:r w:rsidRPr="005C397C">
        <w:rPr>
          <w:rFonts w:ascii="Verdana" w:eastAsia="Arial Nova" w:hAnsi="Verdana" w:cs="Arial"/>
          <w:bCs/>
          <w:sz w:val="21"/>
          <w:szCs w:val="21"/>
        </w:rPr>
        <w:t xml:space="preserve"> Así las cosas, se considera que este derecho no se limita a la facultad de someter una controversia al conocimiento de los tribunales y que la misma se tramite conforme a las garantías procesales, pues también comprende la posibilidad de que la sentencia dictada tenga plena eficacia mediante su ejecución. Por lo tanto, para que el Estado garantice un efectivo derecho de acceso a la justicia, no basta con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Lo anterior es así, pues detrás del reconocimiento del derecho de acceso a la justicia en su modalidad del derecho a la ejecución de las sentencias, no sólo están el derecho subjetivo del vencedor en juicio y el derecho de acceso a la justicia, </w:t>
      </w:r>
      <w:r w:rsidRPr="005C397C">
        <w:rPr>
          <w:rFonts w:ascii="Verdana" w:eastAsia="Arial Nova" w:hAnsi="Verdana" w:cs="Arial"/>
          <w:b/>
          <w:sz w:val="21"/>
          <w:szCs w:val="21"/>
          <w:u w:val="single"/>
        </w:rPr>
        <w:t>sino que, para la efectividad del "Estado democrático de derecho", es indispensable que las autoridades estatales cumplan con sus obligaciones contenidas en la Constitución y en los diversos tratados internacionales</w:t>
      </w:r>
      <w:r w:rsidRPr="005C397C">
        <w:rPr>
          <w:rFonts w:ascii="Verdana" w:eastAsia="Arial Nova" w:hAnsi="Verdana" w:cs="Arial"/>
          <w:bCs/>
          <w:sz w:val="21"/>
          <w:szCs w:val="21"/>
        </w:rPr>
        <w:t>.</w:t>
      </w:r>
      <w:r w:rsidR="00D04E3D" w:rsidRPr="005C397C">
        <w:rPr>
          <w:rStyle w:val="Refdenotaalpie"/>
          <w:rFonts w:ascii="Verdana" w:eastAsia="Arial Nova" w:hAnsi="Verdana" w:cs="Arial"/>
          <w:bCs/>
          <w:sz w:val="21"/>
          <w:szCs w:val="21"/>
        </w:rPr>
        <w:footnoteReference w:id="7"/>
      </w:r>
    </w:p>
    <w:p w14:paraId="1808F137" w14:textId="0DE04D75" w:rsidR="003521EA" w:rsidRPr="005C397C" w:rsidRDefault="00073D55"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lastRenderedPageBreak/>
        <w:t xml:space="preserve">Al respecto, en el caso, </w:t>
      </w:r>
      <w:r w:rsidR="00855253" w:rsidRPr="005C397C">
        <w:rPr>
          <w:rFonts w:ascii="Verdana" w:eastAsia="Arial Nova" w:hAnsi="Verdana" w:cs="Arial"/>
          <w:bCs/>
          <w:sz w:val="21"/>
          <w:szCs w:val="21"/>
        </w:rPr>
        <w:t xml:space="preserve">conforme a las garantías a la tutela jurisdiccional prevista en el artículo 17, de la </w:t>
      </w:r>
      <w:r w:rsidR="00855253" w:rsidRPr="005C397C">
        <w:rPr>
          <w:rFonts w:ascii="Verdana" w:eastAsia="Arial Nova" w:hAnsi="Verdana" w:cs="Arial"/>
          <w:bCs/>
          <w:smallCaps/>
          <w:sz w:val="21"/>
          <w:szCs w:val="21"/>
        </w:rPr>
        <w:t>Constitución Federal</w:t>
      </w:r>
      <w:r w:rsidR="00855253" w:rsidRPr="005C397C">
        <w:rPr>
          <w:rFonts w:ascii="Verdana" w:eastAsia="Arial Nova" w:hAnsi="Verdana" w:cs="Arial"/>
          <w:bCs/>
          <w:sz w:val="21"/>
          <w:szCs w:val="21"/>
        </w:rPr>
        <w:t>,</w:t>
      </w:r>
      <w:r w:rsidR="00855253" w:rsidRPr="005C397C">
        <w:rPr>
          <w:rStyle w:val="Refdenotaalpie"/>
          <w:rFonts w:ascii="Verdana" w:eastAsia="Arial Nova" w:hAnsi="Verdana" w:cs="Arial"/>
          <w:bCs/>
          <w:sz w:val="21"/>
          <w:szCs w:val="21"/>
        </w:rPr>
        <w:footnoteReference w:id="8"/>
      </w:r>
      <w:r w:rsidR="00855253" w:rsidRPr="005C397C">
        <w:rPr>
          <w:rFonts w:ascii="Verdana" w:eastAsia="Arial Nova" w:hAnsi="Verdana" w:cs="Arial"/>
          <w:bCs/>
          <w:sz w:val="21"/>
          <w:szCs w:val="21"/>
        </w:rPr>
        <w:t xml:space="preserve"> </w:t>
      </w:r>
      <w:r w:rsidRPr="005C397C">
        <w:rPr>
          <w:rFonts w:ascii="Verdana" w:eastAsia="Arial Nova" w:hAnsi="Verdana" w:cs="Arial"/>
          <w:bCs/>
          <w:sz w:val="21"/>
          <w:szCs w:val="21"/>
        </w:rPr>
        <w:t xml:space="preserve">el veintisiete de mayo de dos mil veintidós, una vez analizada la debida ejecución de lo ordenado en la sentencia dictada en fecha treinta de marzo del mismo año; </w:t>
      </w:r>
      <w:r w:rsidR="00D3186D" w:rsidRPr="005C397C">
        <w:rPr>
          <w:rFonts w:ascii="Verdana" w:eastAsia="Arial Nova" w:hAnsi="Verdana" w:cs="Arial"/>
          <w:bCs/>
          <w:sz w:val="21"/>
          <w:szCs w:val="21"/>
        </w:rPr>
        <w:t xml:space="preserve">el Pleno de este </w:t>
      </w:r>
      <w:r w:rsidR="00D3186D" w:rsidRPr="005C397C">
        <w:rPr>
          <w:rFonts w:ascii="Verdana" w:eastAsia="Arial Nova" w:hAnsi="Verdana" w:cs="Arial"/>
          <w:bCs/>
          <w:smallCaps/>
          <w:sz w:val="21"/>
          <w:szCs w:val="21"/>
        </w:rPr>
        <w:t>Tribunal Electoral</w:t>
      </w:r>
      <w:r w:rsidR="00D3186D" w:rsidRPr="005C397C">
        <w:rPr>
          <w:rFonts w:ascii="Verdana" w:eastAsia="Arial Nova" w:hAnsi="Verdana" w:cs="Arial"/>
          <w:bCs/>
          <w:sz w:val="21"/>
          <w:szCs w:val="21"/>
        </w:rPr>
        <w:t xml:space="preserve">, </w:t>
      </w:r>
      <w:r w:rsidRPr="005C397C">
        <w:rPr>
          <w:rFonts w:ascii="Verdana" w:eastAsia="Arial Nova" w:hAnsi="Verdana" w:cs="Arial"/>
          <w:bCs/>
          <w:sz w:val="21"/>
          <w:szCs w:val="21"/>
        </w:rPr>
        <w:t>declaró el cumplimiento de</w:t>
      </w:r>
      <w:r w:rsidR="00D3186D" w:rsidRPr="005C397C">
        <w:rPr>
          <w:rFonts w:ascii="Verdana" w:eastAsia="Arial Nova" w:hAnsi="Verdana" w:cs="Arial"/>
          <w:bCs/>
          <w:sz w:val="21"/>
          <w:szCs w:val="21"/>
        </w:rPr>
        <w:t xml:space="preserve"> la sentencia de mérito</w:t>
      </w:r>
      <w:r w:rsidRPr="005C397C">
        <w:rPr>
          <w:rFonts w:ascii="Verdana" w:eastAsia="Arial Nova" w:hAnsi="Verdana" w:cs="Arial"/>
          <w:bCs/>
          <w:sz w:val="21"/>
          <w:szCs w:val="21"/>
        </w:rPr>
        <w:t>; asimismo, el seis de junio siguiente, se ordenó su archivo como asunto total y definitivamente concluido</w:t>
      </w:r>
      <w:r w:rsidR="00855253" w:rsidRPr="005C397C">
        <w:rPr>
          <w:rFonts w:ascii="Verdana" w:eastAsia="Arial Nova" w:hAnsi="Verdana" w:cs="Arial"/>
          <w:bCs/>
          <w:sz w:val="21"/>
          <w:szCs w:val="21"/>
        </w:rPr>
        <w:t>.</w:t>
      </w:r>
    </w:p>
    <w:p w14:paraId="1C55C1F5" w14:textId="2EF43603" w:rsidR="00073D55" w:rsidRPr="005C397C" w:rsidRDefault="00073D55"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Por lo antes expuesto, resulta </w:t>
      </w:r>
      <w:r w:rsidRPr="005C397C">
        <w:rPr>
          <w:rFonts w:ascii="Verdana" w:eastAsia="Arial Nova" w:hAnsi="Verdana" w:cs="Arial"/>
          <w:b/>
          <w:sz w:val="21"/>
          <w:szCs w:val="21"/>
        </w:rPr>
        <w:t>infundado</w:t>
      </w:r>
      <w:r w:rsidRPr="005C397C">
        <w:rPr>
          <w:rFonts w:ascii="Verdana" w:eastAsia="Arial Nova" w:hAnsi="Verdana" w:cs="Arial"/>
          <w:bCs/>
          <w:sz w:val="21"/>
          <w:szCs w:val="21"/>
        </w:rPr>
        <w:t xml:space="preserve"> el incidente de inejecución de sentencia propuesto. </w:t>
      </w:r>
    </w:p>
    <w:p w14:paraId="46F6A5C1" w14:textId="75AD48BF" w:rsidR="007C4FE5" w:rsidRPr="005C397C" w:rsidRDefault="008761C6" w:rsidP="00B273B7">
      <w:pPr>
        <w:spacing w:before="100" w:beforeAutospacing="1" w:after="100" w:afterAutospacing="1" w:line="360" w:lineRule="auto"/>
        <w:jc w:val="both"/>
        <w:rPr>
          <w:rFonts w:ascii="Verdana" w:eastAsia="Arial Nova" w:hAnsi="Verdana" w:cs="Arial"/>
          <w:b/>
          <w:i/>
          <w:iCs/>
          <w:sz w:val="21"/>
          <w:szCs w:val="21"/>
        </w:rPr>
      </w:pPr>
      <w:r w:rsidRPr="005C397C">
        <w:rPr>
          <w:rFonts w:ascii="Verdana" w:eastAsia="Arial Nova" w:hAnsi="Verdana" w:cs="Arial"/>
          <w:bCs/>
          <w:sz w:val="21"/>
          <w:szCs w:val="21"/>
        </w:rPr>
        <w:t xml:space="preserve">Ahora bien, </w:t>
      </w:r>
      <w:r w:rsidR="00510C68" w:rsidRPr="005C397C">
        <w:rPr>
          <w:rFonts w:ascii="Verdana" w:eastAsia="Arial Nova" w:hAnsi="Verdana" w:cs="Arial"/>
          <w:bCs/>
          <w:sz w:val="21"/>
          <w:szCs w:val="21"/>
        </w:rPr>
        <w:t>d</w:t>
      </w:r>
      <w:r w:rsidRPr="005C397C">
        <w:rPr>
          <w:rFonts w:ascii="Verdana" w:eastAsia="Arial Nova" w:hAnsi="Verdana" w:cs="Arial"/>
          <w:bCs/>
          <w:sz w:val="21"/>
          <w:szCs w:val="21"/>
        </w:rPr>
        <w:t xml:space="preserve">el escrito </w:t>
      </w:r>
      <w:r w:rsidR="00510C68" w:rsidRPr="005C397C">
        <w:rPr>
          <w:rFonts w:ascii="Verdana" w:eastAsia="Arial Nova" w:hAnsi="Verdana" w:cs="Arial"/>
          <w:bCs/>
          <w:sz w:val="21"/>
          <w:szCs w:val="21"/>
        </w:rPr>
        <w:t>de incidente</w:t>
      </w:r>
      <w:r w:rsidR="00A55EEF" w:rsidRPr="005C397C">
        <w:rPr>
          <w:rFonts w:ascii="Verdana" w:eastAsia="Arial Nova" w:hAnsi="Verdana" w:cs="Arial"/>
          <w:bCs/>
          <w:sz w:val="21"/>
          <w:szCs w:val="21"/>
        </w:rPr>
        <w:t>,</w:t>
      </w:r>
      <w:r w:rsidR="00510C68" w:rsidRPr="005C397C">
        <w:rPr>
          <w:rFonts w:ascii="Verdana" w:eastAsia="Arial Nova" w:hAnsi="Verdana" w:cs="Arial"/>
          <w:bCs/>
          <w:sz w:val="21"/>
          <w:szCs w:val="21"/>
        </w:rPr>
        <w:t xml:space="preserve"> </w:t>
      </w:r>
      <w:r w:rsidRPr="005C397C">
        <w:rPr>
          <w:rFonts w:ascii="Verdana" w:eastAsia="Arial Nova" w:hAnsi="Verdana" w:cs="Arial"/>
          <w:bCs/>
          <w:sz w:val="21"/>
          <w:szCs w:val="21"/>
        </w:rPr>
        <w:t xml:space="preserve">se </w:t>
      </w:r>
      <w:r w:rsidR="00510C68" w:rsidRPr="005C397C">
        <w:rPr>
          <w:rFonts w:ascii="Verdana" w:eastAsia="Arial Nova" w:hAnsi="Verdana" w:cs="Arial"/>
          <w:bCs/>
          <w:sz w:val="21"/>
          <w:szCs w:val="21"/>
        </w:rPr>
        <w:t>desprende</w:t>
      </w:r>
      <w:r w:rsidRPr="005C397C">
        <w:rPr>
          <w:rFonts w:ascii="Verdana" w:eastAsia="Arial Nova" w:hAnsi="Verdana" w:cs="Arial"/>
          <w:bCs/>
          <w:sz w:val="21"/>
          <w:szCs w:val="21"/>
        </w:rPr>
        <w:t xml:space="preserve"> que</w:t>
      </w:r>
      <w:r w:rsidR="00A55EEF" w:rsidRPr="005C397C">
        <w:rPr>
          <w:rFonts w:ascii="Verdana" w:eastAsia="Arial Nova" w:hAnsi="Verdana" w:cs="Arial"/>
          <w:bCs/>
          <w:sz w:val="21"/>
          <w:szCs w:val="21"/>
        </w:rPr>
        <w:t>,</w:t>
      </w:r>
      <w:r w:rsidRPr="005C397C">
        <w:rPr>
          <w:rFonts w:ascii="Verdana" w:eastAsia="Arial Nova" w:hAnsi="Verdana" w:cs="Arial"/>
          <w:bCs/>
          <w:sz w:val="21"/>
          <w:szCs w:val="21"/>
        </w:rPr>
        <w:t xml:space="preserve"> </w:t>
      </w:r>
      <w:r w:rsidR="00510C68" w:rsidRPr="005C397C">
        <w:rPr>
          <w:rFonts w:ascii="Verdana" w:eastAsia="Arial Nova" w:hAnsi="Verdana" w:cs="Arial"/>
          <w:bCs/>
          <w:sz w:val="21"/>
          <w:szCs w:val="21"/>
        </w:rPr>
        <w:t xml:space="preserve">la </w:t>
      </w:r>
      <w:r w:rsidR="00510C68" w:rsidRPr="005C397C">
        <w:rPr>
          <w:rFonts w:ascii="Verdana" w:eastAsia="Arial Nova" w:hAnsi="Verdana" w:cs="Arial"/>
          <w:bCs/>
          <w:smallCaps/>
          <w:sz w:val="21"/>
          <w:szCs w:val="21"/>
        </w:rPr>
        <w:t xml:space="preserve">persona </w:t>
      </w:r>
      <w:r w:rsidR="00E4384C" w:rsidRPr="005C397C">
        <w:rPr>
          <w:rFonts w:ascii="Verdana" w:eastAsia="Arial Nova" w:hAnsi="Verdana" w:cs="Arial"/>
          <w:bCs/>
          <w:smallCaps/>
          <w:sz w:val="21"/>
          <w:szCs w:val="21"/>
        </w:rPr>
        <w:t>denunciante</w:t>
      </w:r>
      <w:r w:rsidR="00510C68" w:rsidRPr="005C397C">
        <w:rPr>
          <w:rFonts w:ascii="Verdana" w:eastAsia="Arial Nova" w:hAnsi="Verdana" w:cs="Arial"/>
          <w:bCs/>
          <w:sz w:val="21"/>
          <w:szCs w:val="21"/>
        </w:rPr>
        <w:t xml:space="preserve"> acude a esta autoridad</w:t>
      </w:r>
      <w:r w:rsidR="00C02B27" w:rsidRPr="005C397C">
        <w:rPr>
          <w:rFonts w:ascii="Verdana" w:eastAsia="Arial Nova" w:hAnsi="Verdana" w:cs="Arial"/>
          <w:bCs/>
          <w:sz w:val="21"/>
          <w:szCs w:val="21"/>
        </w:rPr>
        <w:t>,</w:t>
      </w:r>
      <w:r w:rsidR="00510C68" w:rsidRPr="005C397C">
        <w:rPr>
          <w:rFonts w:ascii="Verdana" w:eastAsia="Arial Nova" w:hAnsi="Verdana" w:cs="Arial"/>
          <w:bCs/>
          <w:sz w:val="21"/>
          <w:szCs w:val="21"/>
        </w:rPr>
        <w:t xml:space="preserve"> derivado de los</w:t>
      </w:r>
      <w:r w:rsidRPr="005C397C">
        <w:rPr>
          <w:rFonts w:ascii="Verdana" w:eastAsia="Arial Nova" w:hAnsi="Verdana" w:cs="Arial"/>
          <w:bCs/>
          <w:sz w:val="21"/>
          <w:szCs w:val="21"/>
        </w:rPr>
        <w:t xml:space="preserve"> hechos suscitados el diecinueve de julio del dos mil veintidós, en donde se llevó a cabo una comida dirigida a militantes del</w:t>
      </w:r>
      <w:r w:rsidR="00D64637" w:rsidRPr="005C397C">
        <w:rPr>
          <w:rFonts w:ascii="Verdana" w:eastAsia="Arial Nova" w:hAnsi="Verdana" w:cs="Arial"/>
          <w:bCs/>
          <w:sz w:val="21"/>
          <w:szCs w:val="21"/>
        </w:rPr>
        <w:t xml:space="preserve"> partido político MORENA</w:t>
      </w:r>
      <w:r w:rsidRPr="005C397C">
        <w:rPr>
          <w:rFonts w:ascii="Verdana" w:eastAsia="Arial Nova" w:hAnsi="Verdana" w:cs="Arial"/>
          <w:bCs/>
          <w:sz w:val="21"/>
          <w:szCs w:val="21"/>
        </w:rPr>
        <w:t xml:space="preserve">, en punto de las dos de la tarde en un domicilio ubicado en </w:t>
      </w:r>
      <w:r w:rsidR="00D64637" w:rsidRPr="005C397C">
        <w:rPr>
          <w:rFonts w:ascii="Verdana" w:eastAsia="Arial Nova" w:hAnsi="Verdana" w:cs="Arial"/>
          <w:bCs/>
          <w:sz w:val="21"/>
          <w:szCs w:val="21"/>
        </w:rPr>
        <w:t>la Avenida Luis Donaldo Colosio, del fraccionamiento Jardines de la Concepción</w:t>
      </w:r>
      <w:r w:rsidRPr="005C397C">
        <w:rPr>
          <w:rFonts w:ascii="Verdana" w:eastAsia="Arial Nova" w:hAnsi="Verdana" w:cs="Arial"/>
          <w:bCs/>
          <w:sz w:val="21"/>
          <w:szCs w:val="21"/>
        </w:rPr>
        <w:t>, en donde</w:t>
      </w:r>
      <w:r w:rsidR="00D64637" w:rsidRPr="005C397C">
        <w:rPr>
          <w:rFonts w:ascii="Verdana" w:eastAsia="Arial Nova" w:hAnsi="Verdana" w:cs="Arial"/>
          <w:bCs/>
          <w:sz w:val="21"/>
          <w:szCs w:val="21"/>
        </w:rPr>
        <w:t xml:space="preserve"> la </w:t>
      </w:r>
      <w:r w:rsidR="00D64637" w:rsidRPr="005C397C">
        <w:rPr>
          <w:rFonts w:ascii="Verdana" w:eastAsia="Arial Nova" w:hAnsi="Verdana" w:cs="Arial"/>
          <w:bCs/>
          <w:smallCaps/>
          <w:sz w:val="21"/>
          <w:szCs w:val="21"/>
        </w:rPr>
        <w:t>persona denunciada</w:t>
      </w:r>
      <w:r w:rsidRPr="005C397C">
        <w:rPr>
          <w:rFonts w:ascii="Verdana" w:eastAsia="Arial Nova" w:hAnsi="Verdana" w:cs="Arial"/>
          <w:bCs/>
          <w:sz w:val="21"/>
          <w:szCs w:val="21"/>
        </w:rPr>
        <w:t xml:space="preserve">, una vez que le dieron el uso de la voz, indico lo siguiente: </w:t>
      </w:r>
      <w:r w:rsidRPr="005C397C">
        <w:rPr>
          <w:rFonts w:ascii="Verdana" w:eastAsia="Arial Nova" w:hAnsi="Verdana" w:cs="Arial"/>
          <w:b/>
          <w:i/>
          <w:iCs/>
          <w:sz w:val="21"/>
          <w:szCs w:val="21"/>
        </w:rPr>
        <w:t>“que está haciendo el Gobierno Federal ante una situación grave que se vivó en Aguascalientes después del cinco de junio, la Fiscalía Especializada en Delitos Electorales muy comprometida con su trabajo me acaba de fincar un delito y me han vinculado a proceso por señalar que la CANDIDATA DE FUERZA POR MÉXCIO, que ya sabemos a qué intereses obedece, PEDRO HACES Y COMPINCHES fui vinculado a proceso POR HABER DICHO QUE ERA LA AHIJADA DE RICARDO MONREAL me sometí a este nuevo sistema penal acusatorio, vincularme a proceso es como un vaso de agua a nadie se le niega, sin embargo hay cosas más graves en manos de la Fiscalía Especializada como la violencia generada en cada uno de los Municipios después del cinco de junio, como el rebase de gastos de campaña de más de ochenta y tres millones de pesos de la gobernadora electa y una serie de delitos en donde la sociedad de Aguascalientes está esperando que va ser el Gobierno Federal, si también ya hay vinculados a proceso relacionados con la candidata de la Alianza, por sobre el precio de las luminarias y sobre el parque Fotovoltaico, yo quiero saber señor Secretario que si hay una luz justiciera del Gobierno Federal para este hermoso valle de Aguascalientes"</w:t>
      </w:r>
    </w:p>
    <w:p w14:paraId="43350038" w14:textId="61BEA652" w:rsidR="00B17B2D" w:rsidRPr="005C397C" w:rsidRDefault="008761C6"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Hecho anterior, </w:t>
      </w:r>
      <w:r w:rsidR="00263236" w:rsidRPr="005C397C">
        <w:rPr>
          <w:rFonts w:ascii="Verdana" w:eastAsia="Arial Nova" w:hAnsi="Verdana" w:cs="Arial"/>
          <w:bCs/>
          <w:sz w:val="21"/>
          <w:szCs w:val="21"/>
        </w:rPr>
        <w:t xml:space="preserve">del </w:t>
      </w:r>
      <w:r w:rsidR="00D81361" w:rsidRPr="005C397C">
        <w:rPr>
          <w:rFonts w:ascii="Verdana" w:eastAsia="Arial Nova" w:hAnsi="Verdana" w:cs="Arial"/>
          <w:bCs/>
          <w:sz w:val="21"/>
          <w:szCs w:val="21"/>
        </w:rPr>
        <w:t xml:space="preserve">que se advierte que </w:t>
      </w:r>
      <w:r w:rsidR="005B1E1A" w:rsidRPr="005C397C">
        <w:rPr>
          <w:rFonts w:ascii="Verdana" w:eastAsia="Arial Nova" w:hAnsi="Verdana" w:cs="Arial"/>
          <w:bCs/>
          <w:sz w:val="21"/>
          <w:szCs w:val="21"/>
        </w:rPr>
        <w:t>la víctima podría</w:t>
      </w:r>
      <w:r w:rsidR="00D81361" w:rsidRPr="005C397C">
        <w:rPr>
          <w:rFonts w:ascii="Verdana" w:eastAsia="Arial Nova" w:hAnsi="Verdana" w:cs="Arial"/>
          <w:bCs/>
          <w:sz w:val="21"/>
          <w:szCs w:val="21"/>
        </w:rPr>
        <w:t xml:space="preserve"> ser nuevamente afectada, por lo </w:t>
      </w:r>
      <w:r w:rsidR="005B1E1A" w:rsidRPr="005C397C">
        <w:rPr>
          <w:rFonts w:ascii="Verdana" w:eastAsia="Arial Nova" w:hAnsi="Verdana" w:cs="Arial"/>
          <w:bCs/>
          <w:sz w:val="21"/>
          <w:szCs w:val="21"/>
        </w:rPr>
        <w:t>que, para detener la violación, resarcir el derecho</w:t>
      </w:r>
      <w:r w:rsidR="006674B5" w:rsidRPr="005C397C">
        <w:rPr>
          <w:rFonts w:ascii="Verdana" w:eastAsia="Arial Nova" w:hAnsi="Verdana" w:cs="Arial"/>
          <w:bCs/>
          <w:sz w:val="21"/>
          <w:szCs w:val="21"/>
        </w:rPr>
        <w:t>,</w:t>
      </w:r>
      <w:r w:rsidR="005B1E1A" w:rsidRPr="005C397C">
        <w:rPr>
          <w:rFonts w:ascii="Verdana" w:eastAsia="Arial Nova" w:hAnsi="Verdana" w:cs="Arial"/>
          <w:bCs/>
          <w:sz w:val="21"/>
          <w:szCs w:val="21"/>
        </w:rPr>
        <w:t xml:space="preserve"> evitar la repetición de la infracción,</w:t>
      </w:r>
      <w:r w:rsidR="007C4FE5" w:rsidRPr="005C397C">
        <w:rPr>
          <w:rFonts w:ascii="Verdana" w:eastAsia="Arial Nova" w:hAnsi="Verdana" w:cs="Arial"/>
          <w:bCs/>
          <w:sz w:val="21"/>
          <w:szCs w:val="21"/>
        </w:rPr>
        <w:t xml:space="preserve"> ampliar el ámbito de protección </w:t>
      </w:r>
      <w:r w:rsidR="00263236" w:rsidRPr="005C397C">
        <w:rPr>
          <w:rFonts w:ascii="Verdana" w:eastAsia="Arial Nova" w:hAnsi="Verdana" w:cs="Arial"/>
          <w:bCs/>
          <w:sz w:val="21"/>
          <w:szCs w:val="21"/>
        </w:rPr>
        <w:t xml:space="preserve">a su </w:t>
      </w:r>
      <w:r w:rsidR="007C4FE5" w:rsidRPr="005C397C">
        <w:rPr>
          <w:rFonts w:ascii="Verdana" w:eastAsia="Arial Nova" w:hAnsi="Verdana" w:cs="Arial"/>
          <w:bCs/>
          <w:sz w:val="21"/>
          <w:szCs w:val="21"/>
        </w:rPr>
        <w:t>favor</w:t>
      </w:r>
      <w:r w:rsidR="006674B5" w:rsidRPr="005C397C">
        <w:rPr>
          <w:rFonts w:ascii="Verdana" w:eastAsia="Arial Nova" w:hAnsi="Verdana" w:cs="Arial"/>
          <w:bCs/>
          <w:sz w:val="21"/>
          <w:szCs w:val="21"/>
        </w:rPr>
        <w:t xml:space="preserve"> y</w:t>
      </w:r>
      <w:r w:rsidR="007C4FE5" w:rsidRPr="005C397C">
        <w:rPr>
          <w:rFonts w:ascii="Verdana" w:eastAsia="Arial Nova" w:hAnsi="Verdana" w:cs="Arial"/>
          <w:bCs/>
          <w:sz w:val="21"/>
          <w:szCs w:val="21"/>
        </w:rPr>
        <w:t xml:space="preserve"> </w:t>
      </w:r>
      <w:r w:rsidR="00537F32" w:rsidRPr="005C397C">
        <w:rPr>
          <w:rFonts w:ascii="Verdana" w:eastAsia="Arial Nova" w:hAnsi="Verdana" w:cs="Arial"/>
          <w:bCs/>
          <w:sz w:val="21"/>
          <w:szCs w:val="21"/>
        </w:rPr>
        <w:t xml:space="preserve">respetando la garantía de audiencia y debido proceso, </w:t>
      </w:r>
      <w:r w:rsidR="001F5453" w:rsidRPr="005C397C">
        <w:rPr>
          <w:rFonts w:ascii="Verdana" w:eastAsia="Arial Nova" w:hAnsi="Verdana" w:cs="Arial"/>
          <w:bCs/>
          <w:sz w:val="21"/>
          <w:szCs w:val="21"/>
        </w:rPr>
        <w:t xml:space="preserve">reconocido por los artículos 14 de la </w:t>
      </w:r>
      <w:r w:rsidR="001F5453" w:rsidRPr="005C397C">
        <w:rPr>
          <w:rFonts w:ascii="Verdana" w:eastAsia="Arial Nova" w:hAnsi="Verdana" w:cs="Arial"/>
          <w:bCs/>
          <w:smallCaps/>
          <w:sz w:val="21"/>
          <w:szCs w:val="21"/>
        </w:rPr>
        <w:t xml:space="preserve">Constitución </w:t>
      </w:r>
      <w:r w:rsidR="00FA73D4" w:rsidRPr="005C397C">
        <w:rPr>
          <w:rFonts w:ascii="Verdana" w:eastAsia="Arial Nova" w:hAnsi="Verdana" w:cs="Arial"/>
          <w:bCs/>
          <w:smallCaps/>
          <w:sz w:val="21"/>
          <w:szCs w:val="21"/>
        </w:rPr>
        <w:t>Federal</w:t>
      </w:r>
      <w:r w:rsidR="001F5453" w:rsidRPr="005C397C">
        <w:rPr>
          <w:rFonts w:ascii="Verdana" w:eastAsia="Arial Nova" w:hAnsi="Verdana" w:cs="Arial"/>
          <w:bCs/>
          <w:sz w:val="21"/>
          <w:szCs w:val="21"/>
        </w:rPr>
        <w:t xml:space="preserve"> y 8, numeral 1, de la Convención Americana sobre Derechos Humanos, este </w:t>
      </w:r>
      <w:r w:rsidR="00B342A1" w:rsidRPr="005C397C">
        <w:rPr>
          <w:rFonts w:ascii="Verdana" w:eastAsia="Arial Nova" w:hAnsi="Verdana" w:cs="Arial"/>
          <w:bCs/>
          <w:smallCaps/>
          <w:sz w:val="21"/>
          <w:szCs w:val="21"/>
        </w:rPr>
        <w:t>Tribunal Electoral</w:t>
      </w:r>
      <w:r w:rsidR="001F5453" w:rsidRPr="005C397C">
        <w:rPr>
          <w:rFonts w:ascii="Verdana" w:eastAsia="Arial Nova" w:hAnsi="Verdana" w:cs="Arial"/>
          <w:bCs/>
          <w:sz w:val="21"/>
          <w:szCs w:val="21"/>
        </w:rPr>
        <w:t xml:space="preserve"> </w:t>
      </w:r>
      <w:r w:rsidR="00B17B2D" w:rsidRPr="005C397C">
        <w:rPr>
          <w:rFonts w:ascii="Verdana" w:eastAsia="Arial Nova" w:hAnsi="Verdana" w:cs="Arial"/>
          <w:bCs/>
          <w:sz w:val="21"/>
          <w:szCs w:val="21"/>
        </w:rPr>
        <w:t>considera procedente</w:t>
      </w:r>
      <w:r w:rsidR="001F5453" w:rsidRPr="005C397C">
        <w:rPr>
          <w:rFonts w:ascii="Verdana" w:eastAsia="Arial Nova" w:hAnsi="Verdana" w:cs="Arial"/>
          <w:bCs/>
          <w:sz w:val="21"/>
          <w:szCs w:val="21"/>
        </w:rPr>
        <w:t>,</w:t>
      </w:r>
      <w:r w:rsidR="00D81361" w:rsidRPr="005C397C">
        <w:rPr>
          <w:rFonts w:ascii="Verdana" w:eastAsia="Arial Nova" w:hAnsi="Verdana" w:cs="Arial"/>
          <w:bCs/>
          <w:sz w:val="21"/>
          <w:szCs w:val="21"/>
        </w:rPr>
        <w:t xml:space="preserve"> dar vista de los hechos a</w:t>
      </w:r>
      <w:r w:rsidR="00B17B2D" w:rsidRPr="005C397C">
        <w:rPr>
          <w:rFonts w:ascii="Verdana" w:eastAsia="Arial Nova" w:hAnsi="Verdana" w:cs="Arial"/>
          <w:bCs/>
          <w:sz w:val="21"/>
          <w:szCs w:val="21"/>
        </w:rPr>
        <w:t xml:space="preserve">l </w:t>
      </w:r>
      <w:r w:rsidR="00B17B2D" w:rsidRPr="005C397C">
        <w:rPr>
          <w:rFonts w:ascii="Verdana" w:eastAsia="Arial Nova" w:hAnsi="Verdana" w:cs="Arial"/>
          <w:bCs/>
          <w:smallCaps/>
          <w:sz w:val="21"/>
          <w:szCs w:val="21"/>
        </w:rPr>
        <w:t xml:space="preserve">Instituto </w:t>
      </w:r>
      <w:r w:rsidR="00B17B2D" w:rsidRPr="005C397C">
        <w:rPr>
          <w:rFonts w:ascii="Verdana" w:eastAsia="Arial Nova" w:hAnsi="Verdana" w:cs="Arial"/>
          <w:bCs/>
          <w:smallCaps/>
          <w:sz w:val="21"/>
          <w:szCs w:val="21"/>
        </w:rPr>
        <w:lastRenderedPageBreak/>
        <w:t>Electoral</w:t>
      </w:r>
      <w:r w:rsidR="00B17B2D" w:rsidRPr="005C397C">
        <w:rPr>
          <w:rFonts w:ascii="Verdana" w:eastAsia="Arial Nova" w:hAnsi="Verdana" w:cs="Arial"/>
          <w:bCs/>
          <w:sz w:val="21"/>
          <w:szCs w:val="21"/>
        </w:rPr>
        <w:t xml:space="preserve">, </w:t>
      </w:r>
      <w:r w:rsidR="00263236" w:rsidRPr="005C397C">
        <w:rPr>
          <w:rFonts w:ascii="Verdana" w:eastAsia="Arial Nova" w:hAnsi="Verdana" w:cs="Arial"/>
          <w:bCs/>
          <w:sz w:val="21"/>
          <w:szCs w:val="21"/>
        </w:rPr>
        <w:t>para que con fundamento en los artículos 268, inciso IV, 269, 271, 272</w:t>
      </w:r>
      <w:r w:rsidR="005B1E1A" w:rsidRPr="005C397C">
        <w:rPr>
          <w:rFonts w:ascii="Verdana" w:eastAsia="Arial Nova" w:hAnsi="Verdana" w:cs="Arial"/>
          <w:bCs/>
          <w:sz w:val="21"/>
          <w:szCs w:val="21"/>
        </w:rPr>
        <w:t xml:space="preserve"> y</w:t>
      </w:r>
      <w:r w:rsidR="00263236" w:rsidRPr="005C397C">
        <w:rPr>
          <w:rFonts w:ascii="Verdana" w:eastAsia="Arial Nova" w:hAnsi="Verdana" w:cs="Arial"/>
          <w:bCs/>
          <w:sz w:val="21"/>
          <w:szCs w:val="21"/>
        </w:rPr>
        <w:t xml:space="preserve"> 273,</w:t>
      </w:r>
      <w:r w:rsidR="0003718D" w:rsidRPr="005C397C">
        <w:rPr>
          <w:rFonts w:ascii="Verdana" w:eastAsia="Arial Nova" w:hAnsi="Verdana" w:cs="Arial"/>
          <w:bCs/>
          <w:sz w:val="21"/>
          <w:szCs w:val="21"/>
        </w:rPr>
        <w:t xml:space="preserve"> del </w:t>
      </w:r>
      <w:r w:rsidR="0003718D" w:rsidRPr="005C397C">
        <w:rPr>
          <w:rFonts w:ascii="Verdana" w:eastAsia="Arial Nova" w:hAnsi="Verdana" w:cs="Arial"/>
          <w:bCs/>
          <w:smallCaps/>
          <w:sz w:val="21"/>
          <w:szCs w:val="21"/>
        </w:rPr>
        <w:t>Código Electoral</w:t>
      </w:r>
      <w:r w:rsidR="0003718D" w:rsidRPr="005C397C">
        <w:rPr>
          <w:rFonts w:ascii="Verdana" w:eastAsia="Arial Nova" w:hAnsi="Verdana" w:cs="Arial"/>
          <w:bCs/>
          <w:sz w:val="21"/>
          <w:szCs w:val="21"/>
        </w:rPr>
        <w:t>,</w:t>
      </w:r>
      <w:r w:rsidR="005B1E1A" w:rsidRPr="005C397C">
        <w:rPr>
          <w:rFonts w:ascii="Verdana" w:eastAsia="Arial Nova" w:hAnsi="Verdana" w:cs="Arial"/>
          <w:bCs/>
          <w:sz w:val="21"/>
          <w:szCs w:val="21"/>
        </w:rPr>
        <w:t xml:space="preserve"> instaure el procedimiento especial correspondiente.</w:t>
      </w:r>
      <w:r w:rsidR="00537F32" w:rsidRPr="005C397C">
        <w:rPr>
          <w:rFonts w:ascii="Verdana" w:eastAsia="Arial Nova" w:hAnsi="Verdana" w:cs="Arial"/>
          <w:bCs/>
          <w:sz w:val="21"/>
          <w:szCs w:val="21"/>
        </w:rPr>
        <w:t xml:space="preserve"> </w:t>
      </w:r>
    </w:p>
    <w:p w14:paraId="0238E98F" w14:textId="2E9FD96F" w:rsidR="00C16CEE" w:rsidRPr="005C397C" w:rsidRDefault="00D34030" w:rsidP="00B273B7">
      <w:pPr>
        <w:tabs>
          <w:tab w:val="left" w:pos="2955"/>
        </w:tabs>
        <w:spacing w:before="100" w:beforeAutospacing="1" w:after="100" w:afterAutospacing="1" w:line="360" w:lineRule="auto"/>
        <w:jc w:val="both"/>
        <w:rPr>
          <w:rFonts w:ascii="Verdana" w:hAnsi="Verdana"/>
          <w:sz w:val="21"/>
          <w:szCs w:val="21"/>
        </w:rPr>
      </w:pPr>
      <w:r w:rsidRPr="005C397C">
        <w:rPr>
          <w:rFonts w:ascii="Verdana" w:hAnsi="Verdana"/>
          <w:sz w:val="21"/>
          <w:szCs w:val="21"/>
        </w:rPr>
        <w:t xml:space="preserve">Lo anterior es así, en razón de que, como se señaló, el </w:t>
      </w:r>
      <w:r w:rsidR="005A187C" w:rsidRPr="005C397C">
        <w:rPr>
          <w:rFonts w:ascii="Verdana" w:hAnsi="Verdana"/>
          <w:sz w:val="21"/>
          <w:szCs w:val="21"/>
        </w:rPr>
        <w:t>p</w:t>
      </w:r>
      <w:r w:rsidRPr="005C397C">
        <w:rPr>
          <w:rFonts w:ascii="Verdana" w:hAnsi="Verdana"/>
          <w:sz w:val="21"/>
          <w:szCs w:val="21"/>
        </w:rPr>
        <w:t xml:space="preserve">rocedimiento </w:t>
      </w:r>
      <w:r w:rsidR="005A187C" w:rsidRPr="005C397C">
        <w:rPr>
          <w:rFonts w:ascii="Verdana" w:hAnsi="Verdana"/>
          <w:sz w:val="21"/>
          <w:szCs w:val="21"/>
        </w:rPr>
        <w:t>e</w:t>
      </w:r>
      <w:r w:rsidRPr="005C397C">
        <w:rPr>
          <w:rFonts w:ascii="Verdana" w:hAnsi="Verdana"/>
          <w:sz w:val="21"/>
          <w:szCs w:val="21"/>
        </w:rPr>
        <w:t xml:space="preserve">special </w:t>
      </w:r>
      <w:r w:rsidR="005A187C" w:rsidRPr="005C397C">
        <w:rPr>
          <w:rFonts w:ascii="Verdana" w:hAnsi="Verdana"/>
          <w:sz w:val="21"/>
          <w:szCs w:val="21"/>
        </w:rPr>
        <w:t>s</w:t>
      </w:r>
      <w:r w:rsidRPr="005C397C">
        <w:rPr>
          <w:rFonts w:ascii="Verdana" w:hAnsi="Verdana"/>
          <w:sz w:val="21"/>
          <w:szCs w:val="21"/>
        </w:rPr>
        <w:t xml:space="preserve">ancionador, tiene como finalidad ejercer </w:t>
      </w:r>
      <w:r w:rsidRPr="005C397C">
        <w:rPr>
          <w:rFonts w:ascii="Verdana" w:hAnsi="Verdana" w:cs="Arial"/>
          <w:sz w:val="21"/>
          <w:szCs w:val="21"/>
          <w:lang w:val="es-419"/>
        </w:rPr>
        <w:t xml:space="preserve">atribuciones correctivas e inhibitorias, </w:t>
      </w:r>
      <w:r w:rsidRPr="005C397C">
        <w:rPr>
          <w:rFonts w:ascii="Verdana" w:hAnsi="Verdana"/>
          <w:sz w:val="21"/>
          <w:szCs w:val="21"/>
        </w:rPr>
        <w:t xml:space="preserve">en la violencia política perpetrada contra las mujeres que le impida el adecuado ejercicio de sus derechos fundamentales en materia política y electoral, lo cual substanciando el respectivo procedimiento y en </w:t>
      </w:r>
      <w:r w:rsidR="00A779AC" w:rsidRPr="005C397C">
        <w:rPr>
          <w:rFonts w:ascii="Verdana" w:hAnsi="Verdana"/>
          <w:sz w:val="21"/>
          <w:szCs w:val="21"/>
        </w:rPr>
        <w:t>el</w:t>
      </w:r>
      <w:r w:rsidRPr="005C397C">
        <w:rPr>
          <w:rFonts w:ascii="Verdana" w:hAnsi="Verdana"/>
          <w:sz w:val="21"/>
          <w:szCs w:val="21"/>
        </w:rPr>
        <w:t xml:space="preserve"> caso</w:t>
      </w:r>
      <w:r w:rsidR="00A779AC" w:rsidRPr="005C397C">
        <w:rPr>
          <w:rFonts w:ascii="Verdana" w:hAnsi="Verdana"/>
          <w:sz w:val="21"/>
          <w:szCs w:val="21"/>
        </w:rPr>
        <w:t xml:space="preserve"> de</w:t>
      </w:r>
      <w:r w:rsidRPr="005C397C">
        <w:rPr>
          <w:rFonts w:ascii="Verdana" w:hAnsi="Verdana"/>
          <w:sz w:val="21"/>
          <w:szCs w:val="21"/>
        </w:rPr>
        <w:t xml:space="preserve"> </w:t>
      </w:r>
      <w:r w:rsidR="00A779AC" w:rsidRPr="005C397C">
        <w:rPr>
          <w:rFonts w:ascii="Verdana" w:hAnsi="Verdana"/>
          <w:sz w:val="21"/>
          <w:szCs w:val="21"/>
        </w:rPr>
        <w:t>acreditarse la conducta,</w:t>
      </w:r>
      <w:r w:rsidRPr="005C397C">
        <w:rPr>
          <w:rFonts w:ascii="Verdana" w:hAnsi="Verdana"/>
          <w:sz w:val="21"/>
          <w:szCs w:val="21"/>
        </w:rPr>
        <w:t xml:space="preserve"> podría traer como consecuencia la reincidencia del perpetrarte, </w:t>
      </w:r>
      <w:r w:rsidR="00A779AC" w:rsidRPr="005C397C">
        <w:rPr>
          <w:rFonts w:ascii="Verdana" w:hAnsi="Verdana"/>
          <w:sz w:val="21"/>
          <w:szCs w:val="21"/>
        </w:rPr>
        <w:t>y por tanto, una sanción mayor, con la finalidad de alcanzar, la no repetición</w:t>
      </w:r>
      <w:r w:rsidR="00C16CEE" w:rsidRPr="005C397C">
        <w:rPr>
          <w:rFonts w:ascii="Verdana" w:hAnsi="Verdana"/>
          <w:sz w:val="21"/>
          <w:szCs w:val="21"/>
        </w:rPr>
        <w:t>, ya que el objetivo de las garantías de no repetición consiste en que el hecho punible o la violación de derechos sufrida por la víctima no vuelva a ocurrir.</w:t>
      </w:r>
    </w:p>
    <w:p w14:paraId="460D1267" w14:textId="5051FD88" w:rsidR="00263236" w:rsidRPr="005C397C" w:rsidRDefault="005B1E1A"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Lo </w:t>
      </w:r>
      <w:r w:rsidR="009945F4" w:rsidRPr="005C397C">
        <w:rPr>
          <w:rFonts w:ascii="Verdana" w:eastAsia="Arial Nova" w:hAnsi="Verdana" w:cs="Arial"/>
          <w:bCs/>
          <w:sz w:val="21"/>
          <w:szCs w:val="21"/>
        </w:rPr>
        <w:t>antes expuesto encuentra sustento además</w:t>
      </w:r>
      <w:r w:rsidRPr="005C397C">
        <w:rPr>
          <w:rFonts w:ascii="Verdana" w:eastAsia="Arial Nova" w:hAnsi="Verdana" w:cs="Arial"/>
          <w:bCs/>
          <w:sz w:val="21"/>
          <w:szCs w:val="21"/>
        </w:rPr>
        <w:t xml:space="preserve">, </w:t>
      </w:r>
      <w:r w:rsidR="009945F4" w:rsidRPr="005C397C">
        <w:rPr>
          <w:rFonts w:ascii="Verdana" w:eastAsia="Arial Nova" w:hAnsi="Verdana" w:cs="Arial"/>
          <w:bCs/>
          <w:sz w:val="21"/>
          <w:szCs w:val="21"/>
        </w:rPr>
        <w:t>en</w:t>
      </w:r>
      <w:r w:rsidR="00263236" w:rsidRPr="005C397C">
        <w:rPr>
          <w:rFonts w:ascii="Verdana" w:eastAsia="Arial Nova" w:hAnsi="Verdana" w:cs="Arial"/>
          <w:bCs/>
          <w:sz w:val="21"/>
          <w:szCs w:val="21"/>
        </w:rPr>
        <w:t xml:space="preserve"> la Convención sobre la Eliminación de todas las Formas de Discriminación contra la Mujer (CEDAW) y las recomendaciones emitidas por su Comité, así como por la Convención Interamericana para Prevenir, Sancionar y Erradicar la Violencia contra la Mujer (</w:t>
      </w:r>
      <w:r w:rsidR="00263236" w:rsidRPr="005C397C">
        <w:rPr>
          <w:rFonts w:ascii="Verdana" w:eastAsia="Arial Nova" w:hAnsi="Verdana" w:cs="Arial"/>
          <w:bCs/>
          <w:smallCaps/>
          <w:sz w:val="21"/>
          <w:szCs w:val="21"/>
        </w:rPr>
        <w:t>Convención Belém do Pará</w:t>
      </w:r>
      <w:r w:rsidR="00263236" w:rsidRPr="005C397C">
        <w:rPr>
          <w:rFonts w:ascii="Verdana" w:eastAsia="Arial Nova" w:hAnsi="Verdana" w:cs="Arial"/>
          <w:bCs/>
          <w:sz w:val="21"/>
          <w:szCs w:val="21"/>
        </w:rPr>
        <w:t xml:space="preserve">) y la Declaración de las Naciones Unidas sobre la Eliminación de la Violencia contra la Mujer, en las que se ha establecido que los Estados </w:t>
      </w:r>
      <w:r w:rsidR="003C766E" w:rsidRPr="005C397C">
        <w:rPr>
          <w:rFonts w:ascii="Verdana" w:eastAsia="Arial Nova" w:hAnsi="Verdana" w:cs="Arial"/>
          <w:bCs/>
          <w:sz w:val="21"/>
          <w:szCs w:val="21"/>
        </w:rPr>
        <w:t>p</w:t>
      </w:r>
      <w:r w:rsidR="00263236" w:rsidRPr="005C397C">
        <w:rPr>
          <w:rFonts w:ascii="Verdana" w:eastAsia="Arial Nova" w:hAnsi="Verdana" w:cs="Arial"/>
          <w:bCs/>
          <w:sz w:val="21"/>
          <w:szCs w:val="21"/>
        </w:rPr>
        <w:t>arte tienen la obligación convencional de adoptar todas las medidas necesarias para garantizar, de forma real y eficaz, la protección a la integridad de las mujeres que puedan encontrarse en un contexto de violencia, o bien, ante un escenario de riesgos, obliga a las autoridades a tomar medidas preventivas oportunas para corregir esas situaciones.</w:t>
      </w:r>
    </w:p>
    <w:p w14:paraId="4DD2B75B" w14:textId="77777777" w:rsidR="005D0E08" w:rsidRPr="005C397C" w:rsidRDefault="005D0E08" w:rsidP="00B273B7">
      <w:pPr>
        <w:spacing w:before="100" w:beforeAutospacing="1" w:after="100" w:afterAutospacing="1" w:line="360" w:lineRule="auto"/>
        <w:jc w:val="both"/>
        <w:rPr>
          <w:rFonts w:ascii="Verdana" w:hAnsi="Verdana" w:cs="Arial"/>
          <w:b/>
          <w:bCs/>
          <w:sz w:val="21"/>
          <w:szCs w:val="21"/>
        </w:rPr>
      </w:pPr>
      <w:r w:rsidRPr="005C397C">
        <w:rPr>
          <w:rFonts w:ascii="Verdana" w:hAnsi="Verdana" w:cs="Arial"/>
          <w:b/>
          <w:bCs/>
          <w:sz w:val="21"/>
          <w:szCs w:val="21"/>
        </w:rPr>
        <w:t>6. EFECTOS.</w:t>
      </w:r>
    </w:p>
    <w:p w14:paraId="23CB6AF3" w14:textId="5ED7A2DF" w:rsidR="005D0E08" w:rsidRPr="005C397C" w:rsidRDefault="00D60DB9"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1.- </w:t>
      </w:r>
      <w:r w:rsidRPr="005C397C">
        <w:rPr>
          <w:rFonts w:ascii="Verdana" w:eastAsia="Arial Nova" w:hAnsi="Verdana" w:cs="Arial"/>
          <w:bCs/>
          <w:sz w:val="21"/>
          <w:szCs w:val="21"/>
        </w:rPr>
        <w:t xml:space="preserve">Remítase el </w:t>
      </w:r>
      <w:r w:rsidR="00BB6259" w:rsidRPr="005C397C">
        <w:rPr>
          <w:rFonts w:ascii="Verdana" w:eastAsia="Arial Nova" w:hAnsi="Verdana" w:cs="Arial"/>
          <w:bCs/>
          <w:sz w:val="21"/>
          <w:szCs w:val="21"/>
        </w:rPr>
        <w:t xml:space="preserve">original del </w:t>
      </w:r>
      <w:r w:rsidRPr="005C397C">
        <w:rPr>
          <w:rFonts w:ascii="Verdana" w:eastAsia="Arial Nova" w:hAnsi="Verdana" w:cs="Arial"/>
          <w:bCs/>
          <w:sz w:val="21"/>
          <w:szCs w:val="21"/>
        </w:rPr>
        <w:t xml:space="preserve">escrito y anexos al </w:t>
      </w:r>
      <w:r w:rsidRPr="005C397C">
        <w:rPr>
          <w:rFonts w:ascii="Verdana" w:eastAsia="Arial Nova" w:hAnsi="Verdana" w:cs="Arial"/>
          <w:bCs/>
          <w:smallCaps/>
          <w:sz w:val="21"/>
          <w:szCs w:val="21"/>
        </w:rPr>
        <w:t>Instituto Electoral</w:t>
      </w:r>
      <w:r w:rsidRPr="005C397C">
        <w:rPr>
          <w:rFonts w:ascii="Verdana" w:eastAsia="Arial Nova" w:hAnsi="Verdana" w:cs="Arial"/>
          <w:bCs/>
          <w:sz w:val="21"/>
          <w:szCs w:val="21"/>
        </w:rPr>
        <w:t>, para que con fundamento en los artículos 268, inciso IV, 269, 271, 272 y 273,</w:t>
      </w:r>
      <w:r w:rsidR="008523C3" w:rsidRPr="005C397C">
        <w:rPr>
          <w:rFonts w:ascii="Verdana" w:eastAsia="Arial Nova" w:hAnsi="Verdana" w:cs="Arial"/>
          <w:bCs/>
          <w:sz w:val="21"/>
          <w:szCs w:val="21"/>
        </w:rPr>
        <w:t xml:space="preserve"> del </w:t>
      </w:r>
      <w:r w:rsidR="008523C3" w:rsidRPr="005C397C">
        <w:rPr>
          <w:rFonts w:ascii="Verdana" w:eastAsia="Arial Nova" w:hAnsi="Verdana" w:cs="Arial"/>
          <w:bCs/>
          <w:smallCaps/>
          <w:sz w:val="21"/>
          <w:szCs w:val="21"/>
        </w:rPr>
        <w:t>Código Electoral</w:t>
      </w:r>
      <w:r w:rsidR="008523C3" w:rsidRPr="005C397C">
        <w:rPr>
          <w:rFonts w:ascii="Verdana" w:eastAsia="Arial Nova" w:hAnsi="Verdana" w:cs="Arial"/>
          <w:bCs/>
          <w:sz w:val="21"/>
          <w:szCs w:val="21"/>
        </w:rPr>
        <w:t>,</w:t>
      </w:r>
      <w:r w:rsidRPr="005C397C">
        <w:rPr>
          <w:rFonts w:ascii="Verdana" w:eastAsia="Arial Nova" w:hAnsi="Verdana" w:cs="Arial"/>
          <w:bCs/>
          <w:sz w:val="21"/>
          <w:szCs w:val="21"/>
        </w:rPr>
        <w:t xml:space="preserve"> inmediatamente instaure el procedimiento especial</w:t>
      </w:r>
      <w:r w:rsidR="008523C3" w:rsidRPr="005C397C">
        <w:rPr>
          <w:rFonts w:ascii="Verdana" w:eastAsia="Arial Nova" w:hAnsi="Verdana" w:cs="Arial"/>
          <w:bCs/>
          <w:sz w:val="21"/>
          <w:szCs w:val="21"/>
        </w:rPr>
        <w:t xml:space="preserve"> sancionador</w:t>
      </w:r>
      <w:r w:rsidRPr="005C397C">
        <w:rPr>
          <w:rFonts w:ascii="Verdana" w:eastAsia="Arial Nova" w:hAnsi="Verdana" w:cs="Arial"/>
          <w:bCs/>
          <w:sz w:val="21"/>
          <w:szCs w:val="21"/>
        </w:rPr>
        <w:t xml:space="preserve"> correspondiente</w:t>
      </w:r>
      <w:r w:rsidR="00BB6259" w:rsidRPr="005C397C">
        <w:rPr>
          <w:rFonts w:ascii="Verdana" w:eastAsia="Arial Nova" w:hAnsi="Verdana" w:cs="Arial"/>
          <w:bCs/>
          <w:sz w:val="21"/>
          <w:szCs w:val="21"/>
        </w:rPr>
        <w:t>; en la inteligencia de que, se deje copia certificada en el presente expediente para constancia legal.</w:t>
      </w:r>
    </w:p>
    <w:p w14:paraId="4CF2D608" w14:textId="4A167346" w:rsidR="00D60DB9" w:rsidRPr="005C397C" w:rsidRDefault="00D60DB9"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 xml:space="preserve">2.- </w:t>
      </w:r>
      <w:r w:rsidR="00BB6259" w:rsidRPr="005C397C">
        <w:rPr>
          <w:rFonts w:ascii="Verdana" w:eastAsia="Arial Nova" w:hAnsi="Verdana" w:cs="Arial"/>
          <w:bCs/>
          <w:sz w:val="21"/>
          <w:szCs w:val="21"/>
        </w:rPr>
        <w:t xml:space="preserve">El </w:t>
      </w:r>
      <w:r w:rsidR="00BB6259" w:rsidRPr="005C397C">
        <w:rPr>
          <w:rFonts w:ascii="Verdana" w:eastAsia="Arial Nova" w:hAnsi="Verdana" w:cs="Arial"/>
          <w:bCs/>
          <w:smallCaps/>
          <w:sz w:val="21"/>
          <w:szCs w:val="21"/>
        </w:rPr>
        <w:t>Instituto Electoral</w:t>
      </w:r>
      <w:r w:rsidR="00BB6259" w:rsidRPr="005C397C">
        <w:rPr>
          <w:rFonts w:ascii="Verdana" w:eastAsia="Arial Nova" w:hAnsi="Verdana" w:cs="Arial"/>
          <w:bCs/>
          <w:sz w:val="21"/>
          <w:szCs w:val="21"/>
        </w:rPr>
        <w:t xml:space="preserve">, </w:t>
      </w:r>
      <w:r w:rsidRPr="005C397C">
        <w:rPr>
          <w:rFonts w:ascii="Verdana" w:eastAsia="Arial Nova" w:hAnsi="Verdana" w:cs="Arial"/>
          <w:bCs/>
          <w:sz w:val="21"/>
          <w:szCs w:val="21"/>
        </w:rPr>
        <w:t xml:space="preserve">deberá informar a este </w:t>
      </w:r>
      <w:r w:rsidR="00BB6259" w:rsidRPr="005C397C">
        <w:rPr>
          <w:rFonts w:ascii="Verdana" w:eastAsia="Arial Nova" w:hAnsi="Verdana" w:cs="Arial"/>
          <w:bCs/>
          <w:smallCaps/>
          <w:sz w:val="21"/>
          <w:szCs w:val="21"/>
        </w:rPr>
        <w:t>Tribunal Electoral</w:t>
      </w:r>
      <w:r w:rsidRPr="005C397C">
        <w:rPr>
          <w:rFonts w:ascii="Verdana" w:eastAsia="Arial Nova" w:hAnsi="Verdana" w:cs="Arial"/>
          <w:bCs/>
          <w:sz w:val="21"/>
          <w:szCs w:val="21"/>
        </w:rPr>
        <w:t xml:space="preserve">, el cumplimiento dentro de las veinticuatro horas siguientes a que </w:t>
      </w:r>
      <w:r w:rsidR="00BB6259" w:rsidRPr="005C397C">
        <w:rPr>
          <w:rFonts w:ascii="Verdana" w:eastAsia="Arial Nova" w:hAnsi="Verdana" w:cs="Arial"/>
          <w:bCs/>
          <w:sz w:val="21"/>
          <w:szCs w:val="21"/>
        </w:rPr>
        <w:t>lo anterior</w:t>
      </w:r>
      <w:r w:rsidRPr="005C397C">
        <w:rPr>
          <w:rFonts w:ascii="Verdana" w:eastAsia="Arial Nova" w:hAnsi="Verdana" w:cs="Arial"/>
          <w:bCs/>
          <w:sz w:val="21"/>
          <w:szCs w:val="21"/>
        </w:rPr>
        <w:t xml:space="preserve"> suceda.</w:t>
      </w:r>
    </w:p>
    <w:p w14:paraId="6C039191" w14:textId="77777777" w:rsidR="005D0E08" w:rsidRPr="005C397C" w:rsidRDefault="005D0E08" w:rsidP="00B273B7">
      <w:pPr>
        <w:spacing w:before="100" w:beforeAutospacing="1" w:after="100" w:afterAutospacing="1" w:line="360" w:lineRule="auto"/>
        <w:jc w:val="both"/>
        <w:rPr>
          <w:rFonts w:ascii="Verdana" w:hAnsi="Verdana" w:cs="Arial"/>
          <w:sz w:val="21"/>
          <w:szCs w:val="21"/>
        </w:rPr>
      </w:pPr>
      <w:r w:rsidRPr="005C397C">
        <w:rPr>
          <w:rFonts w:ascii="Verdana" w:hAnsi="Verdana" w:cs="Arial"/>
          <w:sz w:val="21"/>
          <w:szCs w:val="21"/>
        </w:rPr>
        <w:t>Por lo anteriormente expuesto y fundado; se,</w:t>
      </w:r>
    </w:p>
    <w:p w14:paraId="3AD25C0F" w14:textId="77777777" w:rsidR="005D0E08" w:rsidRPr="005C397C" w:rsidRDefault="005D0E08" w:rsidP="00B273B7">
      <w:pPr>
        <w:spacing w:before="100" w:beforeAutospacing="1" w:after="100" w:afterAutospacing="1" w:line="360" w:lineRule="auto"/>
        <w:jc w:val="center"/>
        <w:rPr>
          <w:rFonts w:ascii="Verdana" w:hAnsi="Verdana" w:cs="Arial"/>
          <w:b/>
          <w:bCs/>
          <w:sz w:val="21"/>
          <w:szCs w:val="21"/>
        </w:rPr>
      </w:pPr>
      <w:r w:rsidRPr="005C397C">
        <w:rPr>
          <w:rFonts w:ascii="Verdana" w:hAnsi="Verdana" w:cs="Arial"/>
          <w:b/>
          <w:bCs/>
          <w:sz w:val="21"/>
          <w:szCs w:val="21"/>
        </w:rPr>
        <w:t>R E S U E L V E:</w:t>
      </w:r>
    </w:p>
    <w:p w14:paraId="2B25B768" w14:textId="3E2D8C6A" w:rsidR="00BB6259" w:rsidRPr="005C397C" w:rsidRDefault="003F6846"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PRIMERO.</w:t>
      </w:r>
      <w:r w:rsidR="004C6146" w:rsidRPr="005C397C">
        <w:rPr>
          <w:rFonts w:ascii="Verdana" w:eastAsia="Arial Nova" w:hAnsi="Verdana" w:cs="Arial"/>
          <w:b/>
          <w:sz w:val="21"/>
          <w:szCs w:val="21"/>
        </w:rPr>
        <w:t xml:space="preserve"> </w:t>
      </w:r>
      <w:r w:rsidR="00BB6259" w:rsidRPr="005C397C">
        <w:rPr>
          <w:rFonts w:ascii="Verdana" w:eastAsia="Arial Nova" w:hAnsi="Verdana" w:cs="Arial"/>
          <w:b/>
          <w:sz w:val="21"/>
          <w:szCs w:val="21"/>
        </w:rPr>
        <w:t>E</w:t>
      </w:r>
      <w:r w:rsidR="003C766E" w:rsidRPr="005C397C">
        <w:rPr>
          <w:rFonts w:ascii="Verdana" w:eastAsia="Arial Nova" w:hAnsi="Verdana" w:cs="Arial"/>
          <w:b/>
          <w:sz w:val="21"/>
          <w:szCs w:val="21"/>
        </w:rPr>
        <w:t>s</w:t>
      </w:r>
      <w:r w:rsidR="00BB6259" w:rsidRPr="005C397C">
        <w:rPr>
          <w:rFonts w:ascii="Verdana" w:eastAsia="Arial Nova" w:hAnsi="Verdana" w:cs="Arial"/>
          <w:b/>
          <w:sz w:val="21"/>
          <w:szCs w:val="21"/>
        </w:rPr>
        <w:t xml:space="preserve"> infundado</w:t>
      </w:r>
      <w:r w:rsidR="00BB6259" w:rsidRPr="005C397C">
        <w:rPr>
          <w:rFonts w:ascii="Verdana" w:eastAsia="Arial Nova" w:hAnsi="Verdana" w:cs="Arial"/>
          <w:bCs/>
          <w:sz w:val="21"/>
          <w:szCs w:val="21"/>
        </w:rPr>
        <w:t xml:space="preserve"> el incidente de inejecución de sentencia propuesto. </w:t>
      </w:r>
    </w:p>
    <w:p w14:paraId="761AEE1D" w14:textId="07AAEC02" w:rsidR="003F6846" w:rsidRPr="005C397C" w:rsidRDefault="003F6846"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t>SEGUNDO.</w:t>
      </w:r>
      <w:r w:rsidRPr="005C397C">
        <w:rPr>
          <w:rFonts w:ascii="Verdana" w:eastAsia="Arial Nova" w:hAnsi="Verdana" w:cs="Arial"/>
          <w:bCs/>
          <w:sz w:val="21"/>
          <w:szCs w:val="21"/>
        </w:rPr>
        <w:t xml:space="preserve"> </w:t>
      </w:r>
      <w:r w:rsidR="00BB6259" w:rsidRPr="005C397C">
        <w:rPr>
          <w:rFonts w:ascii="Verdana" w:eastAsia="Arial Nova" w:hAnsi="Verdana" w:cs="Arial"/>
          <w:bCs/>
          <w:sz w:val="21"/>
          <w:szCs w:val="21"/>
        </w:rPr>
        <w:t xml:space="preserve">Remítase el original del escrito y anexos al </w:t>
      </w:r>
      <w:r w:rsidR="00BB6259" w:rsidRPr="005C397C">
        <w:rPr>
          <w:rFonts w:ascii="Verdana" w:eastAsia="Arial Nova" w:hAnsi="Verdana" w:cs="Arial"/>
          <w:bCs/>
          <w:smallCaps/>
          <w:sz w:val="21"/>
          <w:szCs w:val="21"/>
        </w:rPr>
        <w:t>Instituto Electoral</w:t>
      </w:r>
      <w:r w:rsidR="00BB6259" w:rsidRPr="005C397C">
        <w:rPr>
          <w:rFonts w:ascii="Verdana" w:eastAsia="Arial Nova" w:hAnsi="Verdana" w:cs="Arial"/>
          <w:bCs/>
          <w:sz w:val="21"/>
          <w:szCs w:val="21"/>
        </w:rPr>
        <w:t>, para que inmediatamente instaure el procedimiento especial</w:t>
      </w:r>
      <w:r w:rsidR="008523C3" w:rsidRPr="005C397C">
        <w:rPr>
          <w:rFonts w:ascii="Verdana" w:eastAsia="Arial Nova" w:hAnsi="Verdana" w:cs="Arial"/>
          <w:bCs/>
          <w:sz w:val="21"/>
          <w:szCs w:val="21"/>
        </w:rPr>
        <w:t xml:space="preserve"> sancionador</w:t>
      </w:r>
      <w:r w:rsidR="00BB6259" w:rsidRPr="005C397C">
        <w:rPr>
          <w:rFonts w:ascii="Verdana" w:eastAsia="Arial Nova" w:hAnsi="Verdana" w:cs="Arial"/>
          <w:bCs/>
          <w:sz w:val="21"/>
          <w:szCs w:val="21"/>
        </w:rPr>
        <w:t xml:space="preserve"> correspondiente</w:t>
      </w:r>
      <w:r w:rsidR="008523C3" w:rsidRPr="005C397C">
        <w:rPr>
          <w:rFonts w:ascii="Verdana" w:eastAsia="Arial Nova" w:hAnsi="Verdana" w:cs="Arial"/>
          <w:bCs/>
          <w:sz w:val="21"/>
          <w:szCs w:val="21"/>
        </w:rPr>
        <w:t>.</w:t>
      </w:r>
    </w:p>
    <w:p w14:paraId="1ED1558B" w14:textId="77777777" w:rsidR="006A7B59" w:rsidRPr="005C397C" w:rsidRDefault="006A7B59"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
          <w:sz w:val="21"/>
          <w:szCs w:val="21"/>
        </w:rPr>
        <w:lastRenderedPageBreak/>
        <w:t xml:space="preserve">Notifíquese, </w:t>
      </w:r>
      <w:r w:rsidRPr="005C397C">
        <w:rPr>
          <w:rFonts w:ascii="Verdana" w:eastAsia="Arial Nova" w:hAnsi="Verdana" w:cs="Arial"/>
          <w:bCs/>
          <w:sz w:val="21"/>
          <w:szCs w:val="21"/>
        </w:rPr>
        <w:t>conforme a derecho.</w:t>
      </w:r>
    </w:p>
    <w:p w14:paraId="0623B8BC" w14:textId="721D109E" w:rsidR="003F6846" w:rsidRPr="005C397C" w:rsidRDefault="006A7B59" w:rsidP="00B273B7">
      <w:pPr>
        <w:spacing w:before="100" w:beforeAutospacing="1" w:after="100" w:afterAutospacing="1" w:line="360" w:lineRule="auto"/>
        <w:jc w:val="both"/>
        <w:rPr>
          <w:rFonts w:ascii="Verdana" w:eastAsia="Arial Nova" w:hAnsi="Verdana" w:cs="Arial"/>
          <w:bCs/>
          <w:sz w:val="21"/>
          <w:szCs w:val="21"/>
        </w:rPr>
      </w:pPr>
      <w:r w:rsidRPr="005C397C">
        <w:rPr>
          <w:rFonts w:ascii="Verdana" w:eastAsia="Arial Nova" w:hAnsi="Verdana" w:cs="Arial"/>
          <w:bCs/>
          <w:sz w:val="21"/>
          <w:szCs w:val="21"/>
        </w:rPr>
        <w:t xml:space="preserve">Así lo </w:t>
      </w:r>
      <w:r w:rsidR="00B273B7" w:rsidRPr="005C397C">
        <w:rPr>
          <w:rFonts w:ascii="Verdana" w:eastAsia="Arial Nova" w:hAnsi="Verdana" w:cs="Arial"/>
          <w:bCs/>
          <w:sz w:val="21"/>
          <w:szCs w:val="21"/>
        </w:rPr>
        <w:t>resolvió</w:t>
      </w:r>
      <w:r w:rsidRPr="005C397C">
        <w:rPr>
          <w:rFonts w:ascii="Verdana" w:eastAsia="Arial Nova" w:hAnsi="Verdana" w:cs="Arial"/>
          <w:bCs/>
          <w:sz w:val="21"/>
          <w:szCs w:val="21"/>
        </w:rPr>
        <w:t xml:space="preserve"> </w:t>
      </w:r>
      <w:r w:rsidR="00B273B7" w:rsidRPr="005C397C">
        <w:rPr>
          <w:rFonts w:ascii="Verdana" w:hAnsi="Verdana" w:cs="Arial"/>
          <w:sz w:val="21"/>
          <w:szCs w:val="21"/>
        </w:rPr>
        <w:t xml:space="preserve">por </w:t>
      </w:r>
      <w:r w:rsidR="005A187C" w:rsidRPr="005C397C">
        <w:rPr>
          <w:rFonts w:ascii="Verdana" w:hAnsi="Verdana" w:cs="Arial"/>
          <w:b/>
          <w:bCs/>
          <w:sz w:val="21"/>
          <w:szCs w:val="21"/>
        </w:rPr>
        <w:t>unanimidad</w:t>
      </w:r>
      <w:r w:rsidR="00B273B7" w:rsidRPr="005C397C">
        <w:rPr>
          <w:rFonts w:ascii="Verdana" w:hAnsi="Verdana" w:cs="Arial"/>
          <w:sz w:val="21"/>
          <w:szCs w:val="21"/>
        </w:rPr>
        <w:t xml:space="preserve"> </w:t>
      </w:r>
      <w:r w:rsidRPr="005C397C">
        <w:rPr>
          <w:rFonts w:ascii="Verdana" w:eastAsia="Arial Nova" w:hAnsi="Verdana" w:cs="Arial"/>
          <w:bCs/>
          <w:sz w:val="21"/>
          <w:szCs w:val="21"/>
        </w:rPr>
        <w:t>el Pleno del Tribunal Electoral del Estado de Aguascalientes, ante la Secretaría General de Acuerdos en funciones, quien autoriza y da fe.</w:t>
      </w:r>
    </w:p>
    <w:p w14:paraId="2372A9B0" w14:textId="0E12FA0F" w:rsidR="003F6846" w:rsidRPr="005C397C" w:rsidRDefault="003F6846" w:rsidP="003F6846">
      <w:pPr>
        <w:spacing w:line="360" w:lineRule="auto"/>
        <w:ind w:right="36"/>
        <w:jc w:val="both"/>
        <w:rPr>
          <w:rFonts w:ascii="Verdana" w:eastAsia="Arial Nova" w:hAnsi="Verdana" w:cs="Arial"/>
          <w:bCs/>
          <w:sz w:val="21"/>
          <w:szCs w:val="21"/>
        </w:rPr>
      </w:pPr>
    </w:p>
    <w:p w14:paraId="00E490EB" w14:textId="7363DFDB" w:rsidR="003F6846" w:rsidRPr="005C397C" w:rsidRDefault="003F6846" w:rsidP="003F6846">
      <w:pPr>
        <w:spacing w:line="360" w:lineRule="auto"/>
        <w:ind w:right="36"/>
        <w:jc w:val="both"/>
        <w:rPr>
          <w:rFonts w:ascii="Verdana" w:eastAsia="Arial Nova" w:hAnsi="Verdana" w:cs="Arial"/>
          <w:bCs/>
          <w:sz w:val="21"/>
          <w:szCs w:val="21"/>
        </w:rPr>
      </w:pPr>
    </w:p>
    <w:tbl>
      <w:tblPr>
        <w:tblW w:w="9519" w:type="dxa"/>
        <w:jc w:val="center"/>
        <w:tblLayout w:type="fixed"/>
        <w:tblLook w:val="04A0" w:firstRow="1" w:lastRow="0" w:firstColumn="1" w:lastColumn="0" w:noHBand="0" w:noVBand="1"/>
      </w:tblPr>
      <w:tblGrid>
        <w:gridCol w:w="4732"/>
        <w:gridCol w:w="4787"/>
      </w:tblGrid>
      <w:tr w:rsidR="006A7B59" w:rsidRPr="005C397C" w14:paraId="0D7B4994" w14:textId="77777777" w:rsidTr="006A7B59">
        <w:trPr>
          <w:trHeight w:val="949"/>
          <w:jc w:val="center"/>
        </w:trPr>
        <w:tc>
          <w:tcPr>
            <w:tcW w:w="9519" w:type="dxa"/>
            <w:gridSpan w:val="2"/>
            <w:hideMark/>
          </w:tcPr>
          <w:p w14:paraId="3C268BEF" w14:textId="0C8D8DEA"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MAGISTRATURA QUE PRESIDE</w:t>
            </w:r>
          </w:p>
          <w:p w14:paraId="2DD312BD" w14:textId="0B730B67" w:rsidR="006A7B59" w:rsidRPr="005C397C" w:rsidRDefault="006A7B59" w:rsidP="0014289B">
            <w:pPr>
              <w:pStyle w:val="NormalWeb"/>
              <w:spacing w:line="360" w:lineRule="auto"/>
              <w:jc w:val="center"/>
              <w:rPr>
                <w:rFonts w:ascii="Verdana" w:hAnsi="Verdana" w:cs="Arial"/>
                <w:b/>
                <w:bCs/>
                <w:sz w:val="21"/>
                <w:szCs w:val="21"/>
              </w:rPr>
            </w:pPr>
          </w:p>
          <w:p w14:paraId="15829802" w14:textId="707F4163"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HÉCTOR SALVADOR HERNÁNDEZ GALLEGOS</w:t>
            </w:r>
          </w:p>
          <w:p w14:paraId="4E0E32CF" w14:textId="77777777" w:rsidR="006A7B59" w:rsidRPr="005C397C" w:rsidRDefault="006A7B59" w:rsidP="0014289B">
            <w:pPr>
              <w:pStyle w:val="NormalWeb"/>
              <w:spacing w:line="360" w:lineRule="auto"/>
              <w:jc w:val="center"/>
              <w:rPr>
                <w:rFonts w:ascii="Verdana" w:hAnsi="Verdana" w:cs="Arial"/>
                <w:b/>
                <w:bCs/>
                <w:sz w:val="21"/>
                <w:szCs w:val="21"/>
              </w:rPr>
            </w:pPr>
          </w:p>
          <w:p w14:paraId="11BFFDE1" w14:textId="77777777" w:rsidR="006A7B59" w:rsidRPr="005C397C" w:rsidRDefault="006A7B59" w:rsidP="0014289B">
            <w:pPr>
              <w:pStyle w:val="NormalWeb"/>
              <w:spacing w:line="360" w:lineRule="auto"/>
              <w:jc w:val="center"/>
              <w:rPr>
                <w:rFonts w:ascii="Verdana" w:hAnsi="Verdana" w:cs="Arial"/>
                <w:b/>
                <w:bCs/>
                <w:sz w:val="21"/>
                <w:szCs w:val="21"/>
              </w:rPr>
            </w:pPr>
          </w:p>
        </w:tc>
      </w:tr>
      <w:tr w:rsidR="006A7B59" w:rsidRPr="005C397C" w14:paraId="4BD923E9" w14:textId="77777777" w:rsidTr="006A7B59">
        <w:tblPrEx>
          <w:tblLook w:val="0000" w:firstRow="0" w:lastRow="0" w:firstColumn="0" w:lastColumn="0" w:noHBand="0" w:noVBand="0"/>
        </w:tblPrEx>
        <w:trPr>
          <w:trHeight w:val="1246"/>
          <w:jc w:val="center"/>
        </w:trPr>
        <w:tc>
          <w:tcPr>
            <w:tcW w:w="4732" w:type="dxa"/>
          </w:tcPr>
          <w:p w14:paraId="4DC26604" w14:textId="2D8A0B1F"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MAGISTRATURA</w:t>
            </w:r>
          </w:p>
          <w:p w14:paraId="35D08A96" w14:textId="367833F0" w:rsidR="006A7B59" w:rsidRPr="005C397C" w:rsidRDefault="006A7B59" w:rsidP="0014289B">
            <w:pPr>
              <w:pStyle w:val="NormalWeb"/>
              <w:spacing w:line="360" w:lineRule="auto"/>
              <w:rPr>
                <w:rFonts w:ascii="Verdana" w:hAnsi="Verdana" w:cs="Arial"/>
                <w:b/>
                <w:bCs/>
                <w:sz w:val="21"/>
                <w:szCs w:val="21"/>
              </w:rPr>
            </w:pPr>
          </w:p>
          <w:p w14:paraId="1C615BE2" w14:textId="5093D513"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LAURA HORTENSIA LLAMAS HERNÁNDEZ</w:t>
            </w:r>
          </w:p>
        </w:tc>
        <w:tc>
          <w:tcPr>
            <w:tcW w:w="4787" w:type="dxa"/>
          </w:tcPr>
          <w:p w14:paraId="5E0EBA34" w14:textId="68E46755"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MAGISTRATURA EN FUNCIONES</w:t>
            </w:r>
          </w:p>
          <w:p w14:paraId="760A3334" w14:textId="11E25D4E" w:rsidR="006A7B59" w:rsidRPr="005C397C" w:rsidRDefault="006A7B59" w:rsidP="0014289B">
            <w:pPr>
              <w:pStyle w:val="NormalWeb"/>
              <w:spacing w:line="360" w:lineRule="auto"/>
              <w:jc w:val="center"/>
              <w:rPr>
                <w:rFonts w:ascii="Verdana" w:hAnsi="Verdana" w:cs="Arial"/>
                <w:b/>
                <w:bCs/>
                <w:sz w:val="21"/>
                <w:szCs w:val="21"/>
              </w:rPr>
            </w:pPr>
          </w:p>
          <w:p w14:paraId="005B5BB0" w14:textId="26BDB270"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JESÚS OCIEL BAENA SAUCEDO</w:t>
            </w:r>
          </w:p>
        </w:tc>
      </w:tr>
      <w:tr w:rsidR="006A7B59" w:rsidRPr="005C397C" w14:paraId="15124BA1" w14:textId="77777777" w:rsidTr="006A7B59">
        <w:tblPrEx>
          <w:tblLook w:val="0000" w:firstRow="0" w:lastRow="0" w:firstColumn="0" w:lastColumn="0" w:noHBand="0" w:noVBand="0"/>
        </w:tblPrEx>
        <w:trPr>
          <w:trHeight w:val="740"/>
          <w:jc w:val="center"/>
        </w:trPr>
        <w:tc>
          <w:tcPr>
            <w:tcW w:w="9519" w:type="dxa"/>
            <w:gridSpan w:val="2"/>
          </w:tcPr>
          <w:p w14:paraId="64438B98" w14:textId="613901F9" w:rsidR="006A7B59" w:rsidRPr="005C397C" w:rsidRDefault="006A7B59" w:rsidP="0014289B">
            <w:pPr>
              <w:pStyle w:val="NormalWeb"/>
              <w:spacing w:line="360" w:lineRule="auto"/>
              <w:jc w:val="center"/>
              <w:rPr>
                <w:rFonts w:ascii="Verdana" w:hAnsi="Verdana" w:cs="Arial"/>
                <w:b/>
                <w:bCs/>
                <w:sz w:val="21"/>
                <w:szCs w:val="21"/>
              </w:rPr>
            </w:pPr>
          </w:p>
          <w:p w14:paraId="0E4F284E" w14:textId="23D9782F"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SECRETARÍA GENERAL DE ACUERDOS EN FUNCIONES</w:t>
            </w:r>
          </w:p>
          <w:p w14:paraId="0DC9E2E6" w14:textId="393803B3" w:rsidR="006A7B59" w:rsidRPr="005C397C" w:rsidRDefault="006A7B59" w:rsidP="0014289B">
            <w:pPr>
              <w:pStyle w:val="NormalWeb"/>
              <w:spacing w:line="360" w:lineRule="auto"/>
              <w:jc w:val="center"/>
              <w:rPr>
                <w:rFonts w:ascii="Verdana" w:hAnsi="Verdana" w:cs="Arial"/>
                <w:b/>
                <w:bCs/>
                <w:sz w:val="21"/>
                <w:szCs w:val="21"/>
              </w:rPr>
            </w:pPr>
          </w:p>
        </w:tc>
      </w:tr>
      <w:tr w:rsidR="006A7B59" w:rsidRPr="005C397C" w14:paraId="6F500E88" w14:textId="77777777" w:rsidTr="006A7B59">
        <w:tblPrEx>
          <w:tblLook w:val="0000" w:firstRow="0" w:lastRow="0" w:firstColumn="0" w:lastColumn="0" w:noHBand="0" w:noVBand="0"/>
        </w:tblPrEx>
        <w:trPr>
          <w:trHeight w:val="248"/>
          <w:jc w:val="center"/>
        </w:trPr>
        <w:tc>
          <w:tcPr>
            <w:tcW w:w="9519" w:type="dxa"/>
            <w:gridSpan w:val="2"/>
          </w:tcPr>
          <w:p w14:paraId="79EC0A32" w14:textId="38AFD911" w:rsidR="006A7B59" w:rsidRPr="005C397C" w:rsidRDefault="006A7B59" w:rsidP="0014289B">
            <w:pPr>
              <w:pStyle w:val="NormalWeb"/>
              <w:spacing w:line="360" w:lineRule="auto"/>
              <w:rPr>
                <w:rFonts w:ascii="Verdana" w:hAnsi="Verdana" w:cs="Arial"/>
                <w:b/>
                <w:bCs/>
                <w:sz w:val="21"/>
                <w:szCs w:val="21"/>
              </w:rPr>
            </w:pPr>
          </w:p>
        </w:tc>
      </w:tr>
      <w:tr w:rsidR="006A7B59" w:rsidRPr="005C397C" w14:paraId="5A51CAA5" w14:textId="77777777" w:rsidTr="006A7B59">
        <w:tblPrEx>
          <w:tblLook w:val="0000" w:firstRow="0" w:lastRow="0" w:firstColumn="0" w:lastColumn="0" w:noHBand="0" w:noVBand="0"/>
        </w:tblPrEx>
        <w:trPr>
          <w:trHeight w:val="248"/>
          <w:jc w:val="center"/>
        </w:trPr>
        <w:tc>
          <w:tcPr>
            <w:tcW w:w="9519" w:type="dxa"/>
            <w:gridSpan w:val="2"/>
          </w:tcPr>
          <w:p w14:paraId="6D4A66AC" w14:textId="350F4556" w:rsidR="006A7B59" w:rsidRPr="005C397C" w:rsidRDefault="006A7B59" w:rsidP="0014289B">
            <w:pPr>
              <w:pStyle w:val="NormalWeb"/>
              <w:spacing w:line="360" w:lineRule="auto"/>
              <w:jc w:val="center"/>
              <w:rPr>
                <w:rFonts w:ascii="Verdana" w:hAnsi="Verdana" w:cs="Arial"/>
                <w:b/>
                <w:bCs/>
                <w:sz w:val="21"/>
                <w:szCs w:val="21"/>
              </w:rPr>
            </w:pPr>
            <w:r w:rsidRPr="005C397C">
              <w:rPr>
                <w:rFonts w:ascii="Verdana" w:hAnsi="Verdana" w:cs="Arial"/>
                <w:b/>
                <w:bCs/>
                <w:sz w:val="21"/>
                <w:szCs w:val="21"/>
              </w:rPr>
              <w:t>NESTOR ENRIQUE RIVERA LÓPEZ</w:t>
            </w:r>
          </w:p>
        </w:tc>
      </w:tr>
    </w:tbl>
    <w:p w14:paraId="5B9841E4" w14:textId="422E3DBF" w:rsidR="003F6846" w:rsidRPr="005C397C" w:rsidRDefault="003F6846" w:rsidP="003F6846">
      <w:pPr>
        <w:spacing w:line="360" w:lineRule="auto"/>
        <w:ind w:right="36"/>
        <w:jc w:val="both"/>
        <w:rPr>
          <w:rFonts w:ascii="Verdana" w:eastAsia="Arial Nova" w:hAnsi="Verdana" w:cs="Arial"/>
          <w:bCs/>
          <w:sz w:val="21"/>
          <w:szCs w:val="21"/>
        </w:rPr>
      </w:pPr>
    </w:p>
    <w:p w14:paraId="7B249C58" w14:textId="41496888" w:rsidR="003F6846" w:rsidRPr="005C397C" w:rsidRDefault="003F6846" w:rsidP="003F6846">
      <w:pPr>
        <w:jc w:val="both"/>
        <w:rPr>
          <w:rFonts w:ascii="Verdana" w:hAnsi="Verdana" w:cs="Arial"/>
          <w:b/>
          <w:bCs/>
          <w:sz w:val="21"/>
          <w:szCs w:val="21"/>
        </w:rPr>
      </w:pPr>
    </w:p>
    <w:p w14:paraId="1974D752" w14:textId="7971578C" w:rsidR="00FB489B" w:rsidRPr="005C397C" w:rsidRDefault="00FB489B">
      <w:pPr>
        <w:rPr>
          <w:rFonts w:ascii="Verdana" w:eastAsia="Arial Nova" w:hAnsi="Verdana" w:cs="Arial"/>
          <w:bCs/>
          <w:sz w:val="21"/>
          <w:szCs w:val="21"/>
        </w:rPr>
      </w:pPr>
    </w:p>
    <w:p w14:paraId="7FE53745" w14:textId="178653D8" w:rsidR="00CB78DF" w:rsidRPr="005C397C" w:rsidRDefault="00CB78DF" w:rsidP="00CB78DF">
      <w:pPr>
        <w:rPr>
          <w:rFonts w:ascii="Verdana" w:hAnsi="Verdana" w:cs="Arial"/>
          <w:sz w:val="21"/>
          <w:szCs w:val="21"/>
        </w:rPr>
      </w:pPr>
    </w:p>
    <w:p w14:paraId="2F1ACF3F" w14:textId="252BBA66" w:rsidR="00094307" w:rsidRPr="005C397C" w:rsidRDefault="00094307" w:rsidP="00094307">
      <w:pPr>
        <w:tabs>
          <w:tab w:val="left" w:pos="5827"/>
        </w:tabs>
        <w:rPr>
          <w:rFonts w:ascii="Verdana" w:hAnsi="Verdana" w:cs="Arial"/>
          <w:sz w:val="21"/>
          <w:szCs w:val="21"/>
        </w:rPr>
      </w:pPr>
    </w:p>
    <w:sectPr w:rsidR="00094307" w:rsidRPr="005C397C" w:rsidSect="005C397C">
      <w:headerReference w:type="even" r:id="rId8"/>
      <w:headerReference w:type="default" r:id="rId9"/>
      <w:footerReference w:type="even" r:id="rId10"/>
      <w:footerReference w:type="default" r:id="rId11"/>
      <w:headerReference w:type="first" r:id="rId12"/>
      <w:footerReference w:type="first" r:id="rId13"/>
      <w:pgSz w:w="12240" w:h="20160"/>
      <w:pgMar w:top="2693" w:right="1185" w:bottom="709" w:left="1134" w:header="227" w:footer="567" w:gutter="1134"/>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F553" w14:textId="77777777" w:rsidR="008603AB" w:rsidRDefault="008603AB" w:rsidP="003F6846">
      <w:r>
        <w:separator/>
      </w:r>
    </w:p>
  </w:endnote>
  <w:endnote w:type="continuationSeparator" w:id="0">
    <w:p w14:paraId="0616A9EA" w14:textId="77777777" w:rsidR="008603AB" w:rsidRDefault="008603AB" w:rsidP="003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0C9" w14:textId="77777777" w:rsidR="000B240E" w:rsidRDefault="00B73D5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7BB" w14:textId="77777777" w:rsidR="000B240E" w:rsidRDefault="00B73D5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E0A" w14:textId="77777777" w:rsidR="000B240E" w:rsidRDefault="00B73D5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1549" w14:textId="77777777" w:rsidR="008603AB" w:rsidRDefault="008603AB" w:rsidP="003F6846">
      <w:r>
        <w:separator/>
      </w:r>
    </w:p>
  </w:footnote>
  <w:footnote w:type="continuationSeparator" w:id="0">
    <w:p w14:paraId="7D002524" w14:textId="77777777" w:rsidR="008603AB" w:rsidRDefault="008603AB" w:rsidP="003F6846">
      <w:r>
        <w:continuationSeparator/>
      </w:r>
    </w:p>
  </w:footnote>
  <w:footnote w:id="1">
    <w:p w14:paraId="3A16C056" w14:textId="6F0A2D5C" w:rsidR="00FC754A" w:rsidRPr="00B273B7" w:rsidRDefault="00FC754A">
      <w:pPr>
        <w:pStyle w:val="Textonotapie"/>
        <w:rPr>
          <w:rFonts w:ascii="Arial" w:hAnsi="Arial" w:cs="Arial"/>
          <w:sz w:val="18"/>
          <w:szCs w:val="18"/>
        </w:rPr>
      </w:pPr>
      <w:r w:rsidRPr="005C397C">
        <w:rPr>
          <w:rStyle w:val="Refdenotaalpie"/>
          <w:rFonts w:ascii="Arial" w:hAnsi="Arial" w:cs="Arial"/>
          <w:sz w:val="16"/>
          <w:szCs w:val="16"/>
        </w:rPr>
        <w:footnoteRef/>
      </w:r>
      <w:r w:rsidRPr="005C397C">
        <w:rPr>
          <w:rFonts w:ascii="Arial" w:hAnsi="Arial" w:cs="Arial"/>
          <w:sz w:val="16"/>
          <w:szCs w:val="16"/>
        </w:rPr>
        <w:t xml:space="preserve"> Confidencial por contener datos personales que hacen a personas físicas identificables; con fundamento en los artículos 23, 68, fracción VI, y 116, de la Ley General de Transparencia y Acceso a la Información Pública; así como el 3, fracción IX y 31, de la Ley General de Protección de Datos Personales en Posesión de Sujetos Obligados.</w:t>
      </w:r>
    </w:p>
  </w:footnote>
  <w:footnote w:id="2">
    <w:p w14:paraId="37AFCBD1" w14:textId="41D600A6" w:rsidR="009731CB" w:rsidRPr="00B273B7" w:rsidRDefault="009731CB" w:rsidP="009731CB">
      <w:pPr>
        <w:pStyle w:val="Textonotapie"/>
        <w:jc w:val="both"/>
        <w:rPr>
          <w:rFonts w:ascii="Arial" w:hAnsi="Arial" w:cs="Arial"/>
          <w:sz w:val="18"/>
          <w:szCs w:val="18"/>
        </w:rPr>
      </w:pPr>
      <w:r w:rsidRPr="005C397C">
        <w:rPr>
          <w:rStyle w:val="Refdenotaalpie"/>
          <w:rFonts w:ascii="Arial" w:hAnsi="Arial" w:cs="Arial"/>
          <w:sz w:val="16"/>
          <w:szCs w:val="16"/>
        </w:rPr>
        <w:footnoteRef/>
      </w:r>
      <w:r w:rsidRPr="005C397C">
        <w:rPr>
          <w:rFonts w:ascii="Arial" w:hAnsi="Arial" w:cs="Arial"/>
          <w:sz w:val="16"/>
          <w:szCs w:val="16"/>
        </w:rPr>
        <w:t xml:space="preserve"> </w:t>
      </w:r>
      <w:r w:rsidRPr="005C397C">
        <w:rPr>
          <w:rFonts w:ascii="Arial" w:hAnsi="Arial" w:cs="Arial"/>
          <w:color w:val="000000"/>
          <w:sz w:val="16"/>
          <w:szCs w:val="16"/>
        </w:rPr>
        <w:t xml:space="preserve">Jurisprudencia 11/99, emitida por la </w:t>
      </w:r>
      <w:r w:rsidR="00B273B7" w:rsidRPr="005C397C">
        <w:rPr>
          <w:rFonts w:ascii="Arial" w:hAnsi="Arial" w:cs="Arial"/>
          <w:smallCaps/>
          <w:color w:val="000000"/>
          <w:sz w:val="16"/>
          <w:szCs w:val="16"/>
        </w:rPr>
        <w:t>Sala Superior</w:t>
      </w:r>
      <w:r w:rsidRPr="005C397C">
        <w:rPr>
          <w:rFonts w:ascii="Arial" w:hAnsi="Arial" w:cs="Arial"/>
          <w:color w:val="000000"/>
          <w:sz w:val="16"/>
          <w:szCs w:val="16"/>
        </w:rPr>
        <w:t xml:space="preserve">, de rubro </w:t>
      </w:r>
      <w:r w:rsidRPr="005C397C">
        <w:rPr>
          <w:rFonts w:ascii="Arial" w:hAnsi="Arial" w:cs="Arial"/>
          <w:b/>
          <w:bCs/>
          <w:i/>
          <w:iCs/>
          <w:color w:val="000000"/>
          <w:sz w:val="16"/>
          <w:szCs w:val="16"/>
        </w:rPr>
        <w:t>“MEDIOS DE IMPUGNACIÓN. LAS RESOLUCIONES O ACTUACIONES QUE IMPLIQUEN UNA MODIFICACIÓN EN LA SUSTANCIACIÓN DEL PROCEDIMIENTO ORDINARIO, SON COMPETENCIA DE LA SALA SUPERIOR Y NO DEL MAGISTRADO INSTRUCTOR”.</w:t>
      </w:r>
      <w:r w:rsidRPr="005C397C">
        <w:rPr>
          <w:rFonts w:ascii="Arial" w:hAnsi="Arial" w:cs="Arial"/>
          <w:color w:val="000000"/>
          <w:sz w:val="16"/>
          <w:szCs w:val="16"/>
        </w:rPr>
        <w:t xml:space="preserve"> </w:t>
      </w:r>
    </w:p>
  </w:footnote>
  <w:footnote w:id="3">
    <w:p w14:paraId="6D246410" w14:textId="77777777" w:rsidR="006A2997" w:rsidRPr="005C397C" w:rsidRDefault="006A2997" w:rsidP="006A2997">
      <w:pPr>
        <w:pStyle w:val="Textonotapie"/>
        <w:jc w:val="both"/>
        <w:rPr>
          <w:rFonts w:ascii="Arial" w:hAnsi="Arial" w:cs="Arial"/>
          <w:sz w:val="16"/>
          <w:szCs w:val="16"/>
        </w:rPr>
      </w:pPr>
      <w:r w:rsidRPr="005C397C">
        <w:rPr>
          <w:rStyle w:val="Refdenotaalpie"/>
          <w:rFonts w:ascii="Arial" w:hAnsi="Arial" w:cs="Arial"/>
          <w:sz w:val="16"/>
          <w:szCs w:val="16"/>
        </w:rPr>
        <w:footnoteRef/>
      </w:r>
      <w:r w:rsidRPr="005C397C">
        <w:rPr>
          <w:rFonts w:ascii="Arial" w:hAnsi="Arial" w:cs="Arial"/>
          <w:sz w:val="16"/>
          <w:szCs w:val="16"/>
        </w:rPr>
        <w:t xml:space="preserve"> Las sentencias, tesis y jurisprudencias emitidas por el Tribunal Electoral del Poder Judicial de la Federación son consultables en https://www.te.gob.mx/</w:t>
      </w:r>
    </w:p>
  </w:footnote>
  <w:footnote w:id="4">
    <w:p w14:paraId="334C422F" w14:textId="77777777" w:rsidR="004C62CA" w:rsidRPr="005C397C" w:rsidRDefault="004C62CA" w:rsidP="004C62CA">
      <w:pPr>
        <w:pStyle w:val="Textonotapie"/>
        <w:jc w:val="both"/>
        <w:rPr>
          <w:rFonts w:ascii="Arial" w:hAnsi="Arial" w:cs="Arial"/>
          <w:sz w:val="16"/>
          <w:szCs w:val="16"/>
        </w:rPr>
      </w:pPr>
      <w:r w:rsidRPr="005C397C">
        <w:rPr>
          <w:rStyle w:val="Refdenotaalpie"/>
          <w:rFonts w:ascii="Arial" w:hAnsi="Arial" w:cs="Arial"/>
          <w:sz w:val="16"/>
          <w:szCs w:val="16"/>
        </w:rPr>
        <w:footnoteRef/>
      </w:r>
      <w:r w:rsidRPr="005C397C">
        <w:rPr>
          <w:rFonts w:ascii="Arial" w:hAnsi="Arial" w:cs="Arial"/>
          <w:sz w:val="16"/>
          <w:szCs w:val="16"/>
        </w:rPr>
        <w:t xml:space="preserve"> Ver Acuerdo General 2/2018, de la </w:t>
      </w:r>
      <w:r w:rsidRPr="005C397C">
        <w:rPr>
          <w:rFonts w:ascii="Arial" w:hAnsi="Arial" w:cs="Arial"/>
          <w:smallCaps/>
          <w:sz w:val="16"/>
          <w:szCs w:val="16"/>
        </w:rPr>
        <w:t>Sala Superior</w:t>
      </w:r>
      <w:r w:rsidRPr="005C397C">
        <w:rPr>
          <w:rFonts w:ascii="Arial" w:hAnsi="Arial" w:cs="Arial"/>
          <w:sz w:val="16"/>
          <w:szCs w:val="16"/>
        </w:rPr>
        <w:t xml:space="preserve"> en donde se declaró jurisprudencia histórica.</w:t>
      </w:r>
    </w:p>
  </w:footnote>
  <w:footnote w:id="5">
    <w:p w14:paraId="0F93CB0F" w14:textId="77777777" w:rsidR="004C62CA" w:rsidRPr="00B273B7" w:rsidRDefault="004C62CA" w:rsidP="004C62CA">
      <w:pPr>
        <w:pStyle w:val="Textonotapie"/>
        <w:jc w:val="both"/>
        <w:rPr>
          <w:rFonts w:ascii="Arial" w:hAnsi="Arial" w:cs="Arial"/>
          <w:sz w:val="18"/>
          <w:szCs w:val="18"/>
        </w:rPr>
      </w:pPr>
      <w:r w:rsidRPr="005C397C">
        <w:rPr>
          <w:rStyle w:val="Refdenotaalpie"/>
          <w:rFonts w:ascii="Arial" w:hAnsi="Arial" w:cs="Arial"/>
          <w:sz w:val="16"/>
          <w:szCs w:val="16"/>
        </w:rPr>
        <w:footnoteRef/>
      </w:r>
      <w:r w:rsidRPr="005C397C">
        <w:rPr>
          <w:rFonts w:ascii="Arial" w:hAnsi="Arial" w:cs="Arial"/>
          <w:sz w:val="16"/>
          <w:szCs w:val="16"/>
        </w:rPr>
        <w:t xml:space="preserve"> DECRETO publicado en el Diario Oficial de la Federación, el trece de abril de dos mil veinte,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footnote>
  <w:footnote w:id="6">
    <w:p w14:paraId="33E1CAF4" w14:textId="77777777" w:rsidR="004C62CA" w:rsidRPr="00B273B7" w:rsidRDefault="004C62CA" w:rsidP="004C62CA">
      <w:pPr>
        <w:pStyle w:val="Textonotapie"/>
        <w:jc w:val="both"/>
        <w:rPr>
          <w:rFonts w:ascii="Arial" w:hAnsi="Arial" w:cs="Arial"/>
          <w:sz w:val="18"/>
          <w:szCs w:val="18"/>
        </w:rPr>
      </w:pPr>
      <w:r w:rsidRPr="005C397C">
        <w:rPr>
          <w:rStyle w:val="Refdenotaalpie"/>
          <w:rFonts w:ascii="Arial" w:hAnsi="Arial" w:cs="Arial"/>
          <w:sz w:val="16"/>
          <w:szCs w:val="16"/>
        </w:rPr>
        <w:footnoteRef/>
      </w:r>
      <w:r w:rsidRPr="005C397C">
        <w:rPr>
          <w:rFonts w:ascii="Arial" w:hAnsi="Arial" w:cs="Arial"/>
          <w:sz w:val="16"/>
          <w:szCs w:val="16"/>
        </w:rPr>
        <w:t xml:space="preserve"> Ver sentencia SUP-REC-109/2020 y ACUMULADOS.</w:t>
      </w:r>
    </w:p>
  </w:footnote>
  <w:footnote w:id="7">
    <w:p w14:paraId="39C853F0" w14:textId="695B84AC" w:rsidR="00D04E3D" w:rsidRPr="00B273B7" w:rsidRDefault="00D04E3D" w:rsidP="00C336F3">
      <w:pPr>
        <w:jc w:val="both"/>
        <w:rPr>
          <w:rFonts w:ascii="Arial" w:hAnsi="Arial" w:cs="Arial"/>
          <w:sz w:val="18"/>
          <w:szCs w:val="18"/>
        </w:rPr>
      </w:pPr>
      <w:r w:rsidRPr="005C397C">
        <w:rPr>
          <w:rStyle w:val="Refdenotaalpie"/>
          <w:rFonts w:ascii="Arial" w:hAnsi="Arial" w:cs="Arial"/>
          <w:sz w:val="16"/>
          <w:szCs w:val="16"/>
        </w:rPr>
        <w:footnoteRef/>
      </w:r>
      <w:r w:rsidRPr="005C397C">
        <w:rPr>
          <w:rFonts w:ascii="Arial" w:hAnsi="Arial" w:cs="Arial"/>
          <w:sz w:val="16"/>
          <w:szCs w:val="16"/>
        </w:rPr>
        <w:t xml:space="preserve"> </w:t>
      </w:r>
      <w:r w:rsidR="00C336F3" w:rsidRPr="005C397C">
        <w:rPr>
          <w:rFonts w:ascii="Arial" w:hAnsi="Arial" w:cs="Arial"/>
          <w:sz w:val="16"/>
          <w:szCs w:val="16"/>
        </w:rPr>
        <w:t xml:space="preserve">Así se estableció en la Jurisprudencia sustentada por la </w:t>
      </w:r>
      <w:r w:rsidR="00C336F3" w:rsidRPr="005C397C">
        <w:rPr>
          <w:rFonts w:ascii="Arial" w:hAnsi="Arial" w:cs="Arial"/>
          <w:smallCaps/>
          <w:sz w:val="16"/>
          <w:szCs w:val="16"/>
        </w:rPr>
        <w:t>Suprema Corte</w:t>
      </w:r>
      <w:r w:rsidR="00C336F3" w:rsidRPr="005C397C">
        <w:rPr>
          <w:rFonts w:ascii="Arial" w:hAnsi="Arial" w:cs="Arial"/>
          <w:sz w:val="16"/>
          <w:szCs w:val="16"/>
        </w:rPr>
        <w:t>, con número de registro digital: 2026051, Undécima Época, Materias(s): Constitucional, del Semanario Judicial de la Federación, de rubro: “</w:t>
      </w:r>
      <w:r w:rsidR="00C336F3" w:rsidRPr="005C397C">
        <w:rPr>
          <w:rFonts w:ascii="Arial" w:hAnsi="Arial" w:cs="Arial"/>
          <w:b/>
          <w:bCs/>
          <w:i/>
          <w:iCs/>
          <w:sz w:val="16"/>
          <w:szCs w:val="16"/>
        </w:rPr>
        <w:t>DERECHO DE ACCESO A LA JUSTICIA. CONTENIDO, ETAPAS Y ALCANCE DE SU VERTIENTE DE EJECUCIÓN MATERIAL DE LAS SENTENCIAS”.</w:t>
      </w:r>
    </w:p>
  </w:footnote>
  <w:footnote w:id="8">
    <w:p w14:paraId="169ECAAD" w14:textId="4168B7AF" w:rsidR="00855253" w:rsidRPr="005C397C" w:rsidRDefault="00855253" w:rsidP="00855253">
      <w:pPr>
        <w:jc w:val="both"/>
        <w:rPr>
          <w:rFonts w:ascii="Arial" w:hAnsi="Arial" w:cs="Arial"/>
          <w:sz w:val="16"/>
          <w:szCs w:val="16"/>
        </w:rPr>
      </w:pPr>
      <w:r w:rsidRPr="005C397C">
        <w:rPr>
          <w:rStyle w:val="Refdenotaalpie"/>
          <w:rFonts w:ascii="Arial" w:hAnsi="Arial" w:cs="Arial"/>
          <w:sz w:val="16"/>
          <w:szCs w:val="16"/>
        </w:rPr>
        <w:footnoteRef/>
      </w:r>
      <w:r w:rsidRPr="005C397C">
        <w:rPr>
          <w:rFonts w:ascii="Arial" w:hAnsi="Arial" w:cs="Arial"/>
          <w:sz w:val="16"/>
          <w:szCs w:val="16"/>
        </w:rPr>
        <w:t xml:space="preserve"> Es aplicable la Jurisprudencia de la </w:t>
      </w:r>
      <w:r w:rsidRPr="005C397C">
        <w:rPr>
          <w:rFonts w:ascii="Arial" w:hAnsi="Arial" w:cs="Arial"/>
          <w:smallCaps/>
          <w:sz w:val="16"/>
          <w:szCs w:val="16"/>
        </w:rPr>
        <w:t>Suprema Corte</w:t>
      </w:r>
      <w:r w:rsidRPr="005C397C">
        <w:rPr>
          <w:rFonts w:ascii="Arial" w:hAnsi="Arial" w:cs="Arial"/>
          <w:sz w:val="16"/>
          <w:szCs w:val="16"/>
        </w:rPr>
        <w:t xml:space="preserve">, con registro digital: 172759, Novena Época, Materias(s): Constitucional, del Semanario Judicial de la Federación y su Gaceta. Tomo XXV, </w:t>
      </w:r>
      <w:proofErr w:type="gramStart"/>
      <w:r w:rsidRPr="005C397C">
        <w:rPr>
          <w:rFonts w:ascii="Arial" w:hAnsi="Arial" w:cs="Arial"/>
          <w:sz w:val="16"/>
          <w:szCs w:val="16"/>
        </w:rPr>
        <w:t>Abril</w:t>
      </w:r>
      <w:proofErr w:type="gramEnd"/>
      <w:r w:rsidRPr="005C397C">
        <w:rPr>
          <w:rFonts w:ascii="Arial" w:hAnsi="Arial" w:cs="Arial"/>
          <w:sz w:val="16"/>
          <w:szCs w:val="16"/>
        </w:rPr>
        <w:t xml:space="preserve"> de 2007, página 124, de rubro siguiente: </w:t>
      </w:r>
      <w:r w:rsidRPr="005C397C">
        <w:rPr>
          <w:rFonts w:ascii="Arial" w:hAnsi="Arial" w:cs="Arial"/>
          <w:b/>
          <w:bCs/>
          <w:i/>
          <w:iCs/>
          <w:sz w:val="16"/>
          <w:szCs w:val="16"/>
        </w:rPr>
        <w:t>“GARANTÍA A LA TUTELA JURISDICCIONAL PREVISTA EN EL ARTÍCULO 17 DE LA CONSTITUCIÓN POLÍTICA DE LOS ESTADOS UNIDOS MEXICANOS. SUS ALCANCES”.</w:t>
      </w:r>
    </w:p>
    <w:p w14:paraId="64D21B7F" w14:textId="77777777" w:rsidR="00855253" w:rsidRPr="00B273B7" w:rsidRDefault="00855253" w:rsidP="00855253">
      <w:pPr>
        <w:pStyle w:val="Textonotapie"/>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772" w14:textId="332BDD8F" w:rsidR="000B240E" w:rsidRDefault="00B73D5D">
    <w:pPr>
      <w:pBdr>
        <w:top w:val="nil"/>
        <w:left w:val="nil"/>
        <w:bottom w:val="nil"/>
        <w:right w:val="nil"/>
        <w:between w:val="nil"/>
      </w:pBdr>
      <w:tabs>
        <w:tab w:val="center" w:pos="4419"/>
        <w:tab w:val="right" w:pos="8838"/>
      </w:tabs>
      <w:rPr>
        <w:color w:val="000000"/>
      </w:rPr>
    </w:pPr>
    <w:r>
      <w:rPr>
        <w:noProof/>
      </w:rPr>
      <w:pict w14:anchorId="73197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547" o:spid="_x0000_s2050" type="#_x0000_t136" style="position:absolute;margin-left:0;margin-top:0;width:536.8pt;height:82.5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E52A" w14:textId="4483B427" w:rsidR="000B240E" w:rsidRDefault="00B73D5D">
    <w:pPr>
      <w:pBdr>
        <w:top w:val="nil"/>
        <w:left w:val="nil"/>
        <w:bottom w:val="nil"/>
        <w:right w:val="nil"/>
        <w:between w:val="nil"/>
      </w:pBdr>
      <w:tabs>
        <w:tab w:val="center" w:pos="4419"/>
        <w:tab w:val="right" w:pos="8838"/>
      </w:tabs>
      <w:rPr>
        <w:color w:val="000000"/>
      </w:rPr>
    </w:pPr>
    <w:r>
      <w:rPr>
        <w:noProof/>
      </w:rPr>
      <w:pict w14:anchorId="438E4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548" o:spid="_x0000_s2051" type="#_x0000_t136" style="position:absolute;margin-left:0;margin-top:0;width:536.8pt;height:82.5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5C397C">
      <w:rPr>
        <w:noProof/>
      </w:rPr>
      <w:drawing>
        <wp:anchor distT="0" distB="0" distL="114300" distR="114300" simplePos="0" relativeHeight="251660288" behindDoc="0" locked="0" layoutInCell="1" hidden="0" allowOverlap="1" wp14:anchorId="37AC2255" wp14:editId="6CCB2EEA">
          <wp:simplePos x="0" y="0"/>
          <wp:positionH relativeFrom="column">
            <wp:posOffset>29901</wp:posOffset>
          </wp:positionH>
          <wp:positionV relativeFrom="paragraph">
            <wp:posOffset>285750</wp:posOffset>
          </wp:positionV>
          <wp:extent cx="1076463" cy="1281559"/>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r w:rsidR="005F307A">
      <w:rPr>
        <w:noProof/>
        <w:color w:val="000000"/>
      </w:rPr>
      <mc:AlternateContent>
        <mc:Choice Requires="wps">
          <w:drawing>
            <wp:anchor distT="0" distB="0" distL="114300" distR="114300" simplePos="0" relativeHeight="251659264" behindDoc="0" locked="0" layoutInCell="0" hidden="0" allowOverlap="1" wp14:anchorId="16AC3E1E" wp14:editId="0EAB5A66">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16AC3E1E" id="Rectángulo 1" o:spid="_x0000_s1026"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072" w14:textId="6DD25786" w:rsidR="000B240E" w:rsidRDefault="00B73D5D">
    <w:pPr>
      <w:pBdr>
        <w:top w:val="nil"/>
        <w:left w:val="nil"/>
        <w:bottom w:val="nil"/>
        <w:right w:val="nil"/>
        <w:between w:val="nil"/>
      </w:pBdr>
      <w:tabs>
        <w:tab w:val="center" w:pos="4419"/>
        <w:tab w:val="right" w:pos="8838"/>
      </w:tabs>
      <w:rPr>
        <w:color w:val="000000"/>
      </w:rPr>
    </w:pPr>
    <w:r>
      <w:rPr>
        <w:noProof/>
      </w:rPr>
      <w:pict w14:anchorId="4D310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546" o:spid="_x0000_s2049" type="#_x0000_t136" style="position:absolute;margin-left:0;margin-top:0;width:536.8pt;height:82.5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36B"/>
    <w:multiLevelType w:val="hybridMultilevel"/>
    <w:tmpl w:val="5470D972"/>
    <w:lvl w:ilvl="0" w:tplc="DDF463DC">
      <w:start w:val="1"/>
      <w:numFmt w:val="lowerRoman"/>
      <w:lvlText w:val="(%1)"/>
      <w:lvlJc w:val="left"/>
      <w:pPr>
        <w:ind w:left="1080" w:hanging="720"/>
      </w:pPr>
      <w:rPr>
        <w:rFonts w:eastAsia="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970C75"/>
    <w:multiLevelType w:val="multilevel"/>
    <w:tmpl w:val="C9E85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54295"/>
    <w:multiLevelType w:val="hybridMultilevel"/>
    <w:tmpl w:val="EAD6D262"/>
    <w:lvl w:ilvl="0" w:tplc="97AE752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5958737">
    <w:abstractNumId w:val="1"/>
  </w:num>
  <w:num w:numId="2" w16cid:durableId="1517575521">
    <w:abstractNumId w:val="2"/>
  </w:num>
  <w:num w:numId="3" w16cid:durableId="76508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6"/>
    <w:rsid w:val="0003718D"/>
    <w:rsid w:val="00050CB3"/>
    <w:rsid w:val="00073D55"/>
    <w:rsid w:val="000801D9"/>
    <w:rsid w:val="00086AB7"/>
    <w:rsid w:val="00094307"/>
    <w:rsid w:val="000C3BDF"/>
    <w:rsid w:val="000E32D3"/>
    <w:rsid w:val="000E4256"/>
    <w:rsid w:val="000E760A"/>
    <w:rsid w:val="00113BB2"/>
    <w:rsid w:val="001363D9"/>
    <w:rsid w:val="00185499"/>
    <w:rsid w:val="0019028F"/>
    <w:rsid w:val="001D30F4"/>
    <w:rsid w:val="001E47B7"/>
    <w:rsid w:val="001F5453"/>
    <w:rsid w:val="00217937"/>
    <w:rsid w:val="00230210"/>
    <w:rsid w:val="0024611A"/>
    <w:rsid w:val="002557FC"/>
    <w:rsid w:val="00263236"/>
    <w:rsid w:val="002632D6"/>
    <w:rsid w:val="002B2AF1"/>
    <w:rsid w:val="003521EA"/>
    <w:rsid w:val="00353C7D"/>
    <w:rsid w:val="003C766E"/>
    <w:rsid w:val="003D24D5"/>
    <w:rsid w:val="003D49E3"/>
    <w:rsid w:val="003E09D7"/>
    <w:rsid w:val="003E171B"/>
    <w:rsid w:val="003E5C48"/>
    <w:rsid w:val="003F0048"/>
    <w:rsid w:val="003F6846"/>
    <w:rsid w:val="00490410"/>
    <w:rsid w:val="004B23D8"/>
    <w:rsid w:val="004C6146"/>
    <w:rsid w:val="004C62CA"/>
    <w:rsid w:val="00510C68"/>
    <w:rsid w:val="00537F32"/>
    <w:rsid w:val="005670B2"/>
    <w:rsid w:val="005755B5"/>
    <w:rsid w:val="005843BD"/>
    <w:rsid w:val="005A187C"/>
    <w:rsid w:val="005B01C9"/>
    <w:rsid w:val="005B0E64"/>
    <w:rsid w:val="005B1E1A"/>
    <w:rsid w:val="005B7F04"/>
    <w:rsid w:val="005C397C"/>
    <w:rsid w:val="005D0E08"/>
    <w:rsid w:val="005F307A"/>
    <w:rsid w:val="00621B67"/>
    <w:rsid w:val="006320DB"/>
    <w:rsid w:val="006674B5"/>
    <w:rsid w:val="00671E56"/>
    <w:rsid w:val="006A2997"/>
    <w:rsid w:val="006A5D1F"/>
    <w:rsid w:val="006A7B59"/>
    <w:rsid w:val="006B3204"/>
    <w:rsid w:val="006B3E89"/>
    <w:rsid w:val="006D0066"/>
    <w:rsid w:val="006E3B1C"/>
    <w:rsid w:val="006E618B"/>
    <w:rsid w:val="006F4CF3"/>
    <w:rsid w:val="00763697"/>
    <w:rsid w:val="007851B3"/>
    <w:rsid w:val="007C4FE5"/>
    <w:rsid w:val="007E1A62"/>
    <w:rsid w:val="007E78B4"/>
    <w:rsid w:val="007F53AB"/>
    <w:rsid w:val="00815EAC"/>
    <w:rsid w:val="00825EC1"/>
    <w:rsid w:val="008523C3"/>
    <w:rsid w:val="00855253"/>
    <w:rsid w:val="008603AB"/>
    <w:rsid w:val="008761C6"/>
    <w:rsid w:val="008E1A71"/>
    <w:rsid w:val="00904CF1"/>
    <w:rsid w:val="00915676"/>
    <w:rsid w:val="00954BC1"/>
    <w:rsid w:val="00961CAE"/>
    <w:rsid w:val="009731CB"/>
    <w:rsid w:val="0097396D"/>
    <w:rsid w:val="009945F4"/>
    <w:rsid w:val="009B0126"/>
    <w:rsid w:val="009C4FD8"/>
    <w:rsid w:val="00A24919"/>
    <w:rsid w:val="00A53CB2"/>
    <w:rsid w:val="00A55EEF"/>
    <w:rsid w:val="00A617D8"/>
    <w:rsid w:val="00A779AC"/>
    <w:rsid w:val="00B12FC4"/>
    <w:rsid w:val="00B17B2D"/>
    <w:rsid w:val="00B273B7"/>
    <w:rsid w:val="00B342A1"/>
    <w:rsid w:val="00B730A4"/>
    <w:rsid w:val="00B73D5D"/>
    <w:rsid w:val="00B76508"/>
    <w:rsid w:val="00BA5FDD"/>
    <w:rsid w:val="00BB6259"/>
    <w:rsid w:val="00BE042A"/>
    <w:rsid w:val="00BE12E7"/>
    <w:rsid w:val="00C02B27"/>
    <w:rsid w:val="00C16CEE"/>
    <w:rsid w:val="00C336F3"/>
    <w:rsid w:val="00C35BF8"/>
    <w:rsid w:val="00C4643C"/>
    <w:rsid w:val="00C469FB"/>
    <w:rsid w:val="00C57E90"/>
    <w:rsid w:val="00C80AA1"/>
    <w:rsid w:val="00C969ED"/>
    <w:rsid w:val="00CB78DF"/>
    <w:rsid w:val="00CC2851"/>
    <w:rsid w:val="00CE661F"/>
    <w:rsid w:val="00D04E3D"/>
    <w:rsid w:val="00D3186D"/>
    <w:rsid w:val="00D34030"/>
    <w:rsid w:val="00D60DB9"/>
    <w:rsid w:val="00D64637"/>
    <w:rsid w:val="00D81361"/>
    <w:rsid w:val="00DB03A7"/>
    <w:rsid w:val="00DE02B7"/>
    <w:rsid w:val="00E32995"/>
    <w:rsid w:val="00E4384C"/>
    <w:rsid w:val="00E46E64"/>
    <w:rsid w:val="00E802E0"/>
    <w:rsid w:val="00E84AB6"/>
    <w:rsid w:val="00EA0A80"/>
    <w:rsid w:val="00EB7F01"/>
    <w:rsid w:val="00F125D7"/>
    <w:rsid w:val="00FA0586"/>
    <w:rsid w:val="00FA3D7E"/>
    <w:rsid w:val="00FA73D4"/>
    <w:rsid w:val="00FB3534"/>
    <w:rsid w:val="00FB489B"/>
    <w:rsid w:val="00FC754A"/>
    <w:rsid w:val="00FF0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196464"/>
  <w15:chartTrackingRefBased/>
  <w15:docId w15:val="{2778BD63-B94C-4991-B00B-9D90815E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30"/>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3F6846"/>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nhideWhenUsed/>
    <w:qFormat/>
    <w:rsid w:val="003F684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F6846"/>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3F6846"/>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3F6846"/>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F6846"/>
    <w:pPr>
      <w:jc w:val="both"/>
    </w:pPr>
    <w:rPr>
      <w:rFonts w:asciiTheme="minorHAnsi" w:eastAsiaTheme="minorHAnsi" w:hAnsiTheme="minorHAnsi" w:cstheme="minorBidi"/>
      <w:sz w:val="22"/>
      <w:szCs w:val="22"/>
      <w:vertAlign w:val="superscript"/>
      <w:lang w:eastAsia="en-US"/>
    </w:rPr>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6A7B59"/>
    <w:pPr>
      <w:spacing w:before="100" w:beforeAutospacing="1" w:after="100" w:afterAutospacing="1"/>
    </w:pPr>
    <w:rPr>
      <w:sz w:val="24"/>
      <w:szCs w:val="24"/>
      <w:lang w:val="es-ES"/>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6A7B59"/>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2853">
      <w:bodyDiv w:val="1"/>
      <w:marLeft w:val="0"/>
      <w:marRight w:val="0"/>
      <w:marTop w:val="0"/>
      <w:marBottom w:val="0"/>
      <w:divBdr>
        <w:top w:val="none" w:sz="0" w:space="0" w:color="auto"/>
        <w:left w:val="none" w:sz="0" w:space="0" w:color="auto"/>
        <w:bottom w:val="none" w:sz="0" w:space="0" w:color="auto"/>
        <w:right w:val="none" w:sz="0" w:space="0" w:color="auto"/>
      </w:divBdr>
    </w:div>
    <w:div w:id="625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7D1F-EBED-456E-8CC7-B86A23B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9</Pages>
  <Words>3061</Words>
  <Characters>16837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Lic. Vanessa Soto</cp:lastModifiedBy>
  <cp:revision>65</cp:revision>
  <cp:lastPrinted>2023-03-16T18:59:00Z</cp:lastPrinted>
  <dcterms:created xsi:type="dcterms:W3CDTF">2021-05-09T00:40:00Z</dcterms:created>
  <dcterms:modified xsi:type="dcterms:W3CDTF">2023-03-16T19:39:00Z</dcterms:modified>
</cp:coreProperties>
</file>